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12bis                                </w:t>
      </w:r>
      <w:bookmarkStart w:id="3" w:name="_GoBack"/>
      <w:bookmarkEnd w:id="3"/>
      <w:r>
        <w:rPr>
          <w:rFonts w:hint="eastAsia" w:ascii="Arial" w:hAnsi="Arial" w:cs="Arial"/>
          <w:b/>
          <w:sz w:val="24"/>
          <w:szCs w:val="24"/>
          <w:lang w:val="en-US" w:eastAsia="zh-CN"/>
        </w:rPr>
        <w:t>R4-2416349</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Hefei, China, 14 – 18 October, 2024</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AI-CSI</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rPr>
          <w:rFonts w:hint="eastAsia" w:eastAsiaTheme="minorEastAsia"/>
          <w:b/>
          <w:sz w:val="21"/>
          <w:szCs w:val="21"/>
          <w:u w:val="single"/>
          <w:lang w:val="en-US" w:eastAsia="zh-CN"/>
        </w:rPr>
      </w:pPr>
      <w:r>
        <w:rPr>
          <w:rFonts w:hint="eastAsia" w:eastAsiaTheme="minorEastAsia"/>
          <w:b/>
          <w:sz w:val="21"/>
          <w:szCs w:val="21"/>
          <w:u w:val="single"/>
          <w:lang w:val="en-US" w:eastAsia="zh-CN"/>
        </w:rPr>
        <w:t>Option 3 for 2-side model</w:t>
      </w:r>
    </w:p>
    <w:p>
      <w:pPr>
        <w:rPr>
          <w:rFonts w:hint="default" w:eastAsiaTheme="minorEastAsia"/>
          <w:b/>
          <w:sz w:val="21"/>
          <w:szCs w:val="21"/>
          <w:u w:val="single"/>
          <w:lang w:val="en-US" w:eastAsia="zh-CN"/>
        </w:rPr>
      </w:pPr>
      <w:r>
        <w:rPr>
          <w:rFonts w:hint="eastAsia" w:eastAsia="游明朝"/>
          <w:b/>
          <w:u w:val="single"/>
          <w:lang w:eastAsia="ja-JP"/>
        </w:rPr>
        <w:t>Simulation results and alignment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default" w:eastAsia="游明朝"/>
                <w:iCs/>
                <w:sz w:val="21"/>
                <w:szCs w:val="21"/>
                <w:lang w:eastAsia="ja-JP"/>
              </w:rPr>
            </w:pPr>
            <w:r>
              <w:rPr>
                <w:rFonts w:hint="eastAsia" w:eastAsia="游明朝"/>
                <w:iCs/>
                <w:sz w:val="21"/>
                <w:szCs w:val="21"/>
                <w:lang w:eastAsia="ja-JP"/>
              </w:rPr>
              <w:t>perform a round of alignment until RAN4#112-Bis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contextualSpacing/>
              <w:textAlignment w:val="baseline"/>
              <w:rPr>
                <w:rFonts w:hint="eastAsia" w:eastAsiaTheme="minorEastAsia"/>
                <w:b/>
                <w:sz w:val="21"/>
                <w:szCs w:val="21"/>
                <w:u w:val="single"/>
                <w:vertAlign w:val="baseline"/>
                <w:lang w:val="en-US" w:eastAsia="ko-KR"/>
              </w:rPr>
            </w:pPr>
            <w:r>
              <w:rPr>
                <w:rFonts w:hint="eastAsia" w:eastAsia="游明朝"/>
                <w:iCs/>
                <w:sz w:val="21"/>
                <w:szCs w:val="21"/>
                <w:lang w:eastAsia="ja-JP"/>
              </w:rPr>
              <w:t>refined simulation parameters can be found in R4-2414447</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At the last meeting, all companies provided the simulation results for SGCS and legacy eType II. Unfortunately, not only the results of AI compression have a large span, but the legacy eType II results also have a large span, which can be found in following Fig 1.</w:t>
      </w:r>
    </w:p>
    <w:p>
      <w:pPr>
        <w:jc w:val="both"/>
        <w:rPr>
          <w:rFonts w:hint="default" w:cs="Times New Roman"/>
          <w:b w:val="0"/>
          <w:bCs/>
          <w:szCs w:val="20"/>
          <w:u w:val="none"/>
          <w:lang w:val="en-US" w:eastAsia="zh-CN"/>
        </w:rPr>
      </w:pPr>
      <w:r>
        <w:rPr>
          <w:rFonts w:hint="eastAsia" w:cs="Times New Roman"/>
          <w:b w:val="0"/>
          <w:bCs/>
          <w:szCs w:val="20"/>
          <w:u w:val="none"/>
          <w:lang w:val="en-US" w:eastAsia="zh-CN"/>
        </w:rPr>
        <w:t>Regarding eType II simulation results, RAN4 never discussed the detailed assumptions and implementations, such as channel estimation and codebook quantization, which are dependent on implementation and have a significant impact on performance. If RAN4 wishes to study the eType II performance, it may require substantial time and effort. However, this is inconsistent with RAN4</w:t>
      </w:r>
      <w:r>
        <w:rPr>
          <w:rFonts w:hint="default" w:cs="Times New Roman"/>
          <w:b w:val="0"/>
          <w:bCs/>
          <w:szCs w:val="20"/>
          <w:u w:val="none"/>
          <w:lang w:val="en-US" w:eastAsia="zh-CN"/>
        </w:rPr>
        <w:t>’</w:t>
      </w:r>
      <w:r>
        <w:rPr>
          <w:rFonts w:hint="eastAsia" w:cs="Times New Roman"/>
          <w:b w:val="0"/>
          <w:bCs/>
          <w:szCs w:val="20"/>
          <w:u w:val="none"/>
          <w:lang w:val="en-US" w:eastAsia="zh-CN"/>
        </w:rPr>
        <w:t>s current objectives at this stage. Therefore, we believe that the eType II results should only be considered as a reference. Even if results from various companies exhibit substantial difference, RAN4 still needs to continue its research on how to align the AI compression results.</w:t>
      </w:r>
    </w:p>
    <w:p>
      <w:pPr>
        <w:rPr>
          <w:rFonts w:hint="eastAsia" w:cs="Times New Roman"/>
          <w:b w:val="0"/>
          <w:bCs/>
          <w:szCs w:val="20"/>
          <w:u w:val="none"/>
          <w:lang w:val="en-US" w:eastAsia="zh-CN"/>
        </w:rPr>
      </w:pPr>
      <w:r>
        <w:rPr>
          <w:rFonts w:hint="eastAsia" w:cs="Times New Roman"/>
          <w:b w:val="0"/>
          <w:bCs/>
          <w:szCs w:val="20"/>
          <w:u w:val="none"/>
          <w:lang w:val="en-US" w:eastAsia="zh-CN"/>
        </w:rPr>
        <w:br w:type="page"/>
      </w:r>
    </w:p>
    <w:p>
      <w:pPr>
        <w:jc w:val="center"/>
      </w:pPr>
      <w:r>
        <w:drawing>
          <wp:inline distT="0" distB="0" distL="114300" distR="114300">
            <wp:extent cx="5269865" cy="2573655"/>
            <wp:effectExtent l="4445" t="4445" r="1397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rFonts w:hint="default" w:cs="Times New Roman"/>
          <w:b w:val="0"/>
          <w:bCs/>
          <w:szCs w:val="20"/>
          <w:u w:val="none"/>
          <w:lang w:val="en-US" w:eastAsia="zh-CN"/>
        </w:rPr>
      </w:pPr>
      <w:r>
        <w:rPr>
          <w:rFonts w:hint="eastAsia" w:cs="Times New Roman"/>
          <w:b w:val="0"/>
          <w:bCs/>
          <w:szCs w:val="20"/>
          <w:u w:val="none"/>
          <w:lang w:val="en-US" w:eastAsia="zh-CN"/>
        </w:rPr>
        <w:t>Fig 1. AI compression and eType II SGCS simulation results</w:t>
      </w:r>
    </w:p>
    <w:p>
      <w:pPr>
        <w:jc w:val="both"/>
        <w:rPr>
          <w:rFonts w:hint="eastAsia"/>
          <w:lang w:val="en-US" w:eastAsia="zh-CN"/>
        </w:rPr>
      </w:pPr>
      <w:r>
        <w:rPr>
          <w:rFonts w:hint="eastAsia"/>
          <w:lang w:val="en-US" w:eastAsia="zh-CN"/>
        </w:rPr>
        <w:t>In RAN4 #112 meeting, considering the significant difference are observed among results from different companies, RAN4 further study the hyper parameters in the AI/ML training process, as well as parameters related to the training data, with specifics illustrated in the appendix. During these two meetings, RAN4 made assumptions about the AI model (e.g. CNN structure) and various parameters involved in the training process, virtually encompassing all parameters associated with AI/ML. Should the AI compression results still exhibit significant disparities in the upcoming 112bis meeting, RAN4 may need to consider that there discrepancies could be attributed to difference in the generation or pre-processing of the training data.</w:t>
      </w:r>
    </w:p>
    <w:p>
      <w:pPr>
        <w:jc w:val="both"/>
        <w:rPr>
          <w:rFonts w:hint="default"/>
          <w:lang w:val="en-US" w:eastAsia="zh-CN"/>
        </w:rPr>
      </w:pPr>
      <w:r>
        <w:rPr>
          <w:rFonts w:hint="eastAsia"/>
          <w:lang w:val="en-US" w:eastAsia="zh-CN"/>
        </w:rPr>
        <w:t>Our SGCS simulation results as shown in the following Table 1, with the size of the test data being 20k samples. The quantization aware training result is 0.7160, and we used fixed uniform quantization, e.g. 2 bit scalar quantization. And the CDF of the SGCS across sub-bands as shown in Fig 2. From the CDF curves, we can observe that the probability of SGCS being equal to 0.7 is approximately around 50%.</w:t>
      </w: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1. Simulation results for Rank1</w:t>
      </w:r>
    </w:p>
    <w:tbl>
      <w:tblPr>
        <w:tblStyle w:val="22"/>
        <w:tblW w:w="8476" w:type="dxa"/>
        <w:jc w:val="center"/>
        <w:tblLayout w:type="fixed"/>
        <w:tblCellMar>
          <w:top w:w="0" w:type="dxa"/>
          <w:left w:w="108" w:type="dxa"/>
          <w:bottom w:w="0" w:type="dxa"/>
          <w:right w:w="108" w:type="dxa"/>
        </w:tblCellMar>
      </w:tblPr>
      <w:tblGrid>
        <w:gridCol w:w="1061"/>
        <w:gridCol w:w="1066"/>
        <w:gridCol w:w="2"/>
        <w:gridCol w:w="2129"/>
        <w:gridCol w:w="2109"/>
        <w:gridCol w:w="2109"/>
      </w:tblGrid>
      <w:tr>
        <w:tblPrEx>
          <w:tblCellMar>
            <w:top w:w="0" w:type="dxa"/>
            <w:left w:w="108" w:type="dxa"/>
            <w:bottom w:w="0" w:type="dxa"/>
            <w:right w:w="108" w:type="dxa"/>
          </w:tblCellMar>
        </w:tblPrEx>
        <w:trPr>
          <w:trHeight w:val="234" w:hRule="atLeast"/>
          <w:jc w:val="center"/>
        </w:trPr>
        <w:tc>
          <w:tcPr>
            <w:tcW w:w="212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Model structure</w:t>
            </w:r>
          </w:p>
        </w:tc>
        <w:tc>
          <w:tcPr>
            <w:tcW w:w="213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CNN</w:t>
            </w:r>
          </w:p>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 Quantization aware training: fixed uniform quantization, e.g. 2bit scalar quantization )</w:t>
            </w:r>
          </w:p>
        </w:tc>
        <w:tc>
          <w:tcPr>
            <w:tcW w:w="210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CNN</w:t>
            </w:r>
          </w:p>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(Quantization non-aware training)</w:t>
            </w:r>
          </w:p>
        </w:tc>
        <w:tc>
          <w:tcPr>
            <w:tcW w:w="2109"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eType II</w:t>
            </w:r>
          </w:p>
        </w:tc>
      </w:tr>
      <w:tr>
        <w:tblPrEx>
          <w:tblCellMar>
            <w:top w:w="0" w:type="dxa"/>
            <w:left w:w="108" w:type="dxa"/>
            <w:bottom w:w="0" w:type="dxa"/>
            <w:right w:w="108" w:type="dxa"/>
          </w:tblCellMar>
        </w:tblPrEx>
        <w:trPr>
          <w:trHeight w:val="234" w:hRule="atLeast"/>
          <w:jc w:val="center"/>
        </w:trPr>
        <w:tc>
          <w:tcPr>
            <w:tcW w:w="1061"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CSI feedback bits</w:t>
            </w:r>
          </w:p>
        </w:tc>
        <w:tc>
          <w:tcPr>
            <w:tcW w:w="1066"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Training dataset</w:t>
            </w:r>
          </w:p>
        </w:tc>
        <w:tc>
          <w:tcPr>
            <w:tcW w:w="213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c>
          <w:tcPr>
            <w:tcW w:w="2109"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Test dataset</w:t>
            </w:r>
          </w:p>
        </w:tc>
        <w:tc>
          <w:tcPr>
            <w:tcW w:w="2109"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w:t>
            </w:r>
          </w:p>
        </w:tc>
      </w:tr>
      <w:tr>
        <w:tblPrEx>
          <w:tblCellMar>
            <w:top w:w="0" w:type="dxa"/>
            <w:left w:w="108" w:type="dxa"/>
            <w:bottom w:w="0" w:type="dxa"/>
            <w:right w:w="108" w:type="dxa"/>
          </w:tblCellMar>
        </w:tblPrEx>
        <w:trPr>
          <w:trHeight w:val="168" w:hRule="atLeast"/>
          <w:jc w:val="center"/>
        </w:trPr>
        <w:tc>
          <w:tcPr>
            <w:tcW w:w="106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rPr>
                <w:rFonts w:hint="default" w:eastAsia="等线"/>
                <w:color w:val="000000"/>
                <w:sz w:val="18"/>
                <w:szCs w:val="20"/>
                <w:lang w:val="en-US"/>
              </w:rPr>
            </w:pPr>
          </w:p>
        </w:tc>
        <w:tc>
          <w:tcPr>
            <w:tcW w:w="106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p>
        </w:tc>
        <w:tc>
          <w:tcPr>
            <w:tcW w:w="2131"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UMa</w:t>
            </w:r>
          </w:p>
        </w:tc>
        <w:tc>
          <w:tcPr>
            <w:tcW w:w="210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UMa</w:t>
            </w:r>
          </w:p>
        </w:tc>
        <w:tc>
          <w:tcPr>
            <w:tcW w:w="210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UMa</w:t>
            </w:r>
          </w:p>
        </w:tc>
      </w:tr>
      <w:tr>
        <w:tblPrEx>
          <w:tblCellMar>
            <w:top w:w="0" w:type="dxa"/>
            <w:left w:w="108" w:type="dxa"/>
            <w:bottom w:w="0" w:type="dxa"/>
            <w:right w:w="108" w:type="dxa"/>
          </w:tblCellMar>
        </w:tblPrEx>
        <w:trPr>
          <w:trHeight w:val="460" w:hRule="atLeast"/>
          <w:jc w:val="center"/>
        </w:trPr>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eastAsia" w:eastAsia="等线"/>
                <w:color w:val="000000"/>
                <w:sz w:val="18"/>
                <w:szCs w:val="20"/>
                <w:lang w:val="en-US" w:eastAsia="zh-CN"/>
              </w:rPr>
              <w:t>64</w:t>
            </w:r>
            <w:r>
              <w:rPr>
                <w:rFonts w:hint="default" w:eastAsia="等线"/>
                <w:color w:val="000000"/>
                <w:sz w:val="18"/>
                <w:szCs w:val="20"/>
                <w:lang w:val="en-US"/>
              </w:rPr>
              <w:t xml:space="preserve"> bits</w:t>
            </w:r>
          </w:p>
        </w:tc>
        <w:tc>
          <w:tcPr>
            <w:tcW w:w="106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UMa</w:t>
            </w:r>
          </w:p>
        </w:tc>
        <w:tc>
          <w:tcPr>
            <w:tcW w:w="2131"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0.7160</w:t>
            </w:r>
          </w:p>
        </w:tc>
        <w:tc>
          <w:tcPr>
            <w:tcW w:w="21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0.7876</w:t>
            </w:r>
          </w:p>
        </w:tc>
        <w:tc>
          <w:tcPr>
            <w:tcW w:w="21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0.6803</w:t>
            </w:r>
          </w:p>
        </w:tc>
      </w:tr>
      <w:tr>
        <w:tblPrEx>
          <w:tblCellMar>
            <w:top w:w="0" w:type="dxa"/>
            <w:left w:w="108" w:type="dxa"/>
            <w:bottom w:w="0" w:type="dxa"/>
            <w:right w:w="108" w:type="dxa"/>
          </w:tblCellMar>
        </w:tblPrEx>
        <w:trPr>
          <w:trHeight w:val="460" w:hRule="atLeast"/>
          <w:jc w:val="center"/>
        </w:trPr>
        <w:tc>
          <w:tcPr>
            <w:tcW w:w="212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FLOPS and size</w:t>
            </w:r>
          </w:p>
        </w:tc>
        <w:tc>
          <w:tcPr>
            <w:tcW w:w="2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both"/>
              <w:rPr>
                <w:rFonts w:hint="eastAsia" w:eastAsia="等线"/>
                <w:color w:val="000000"/>
                <w:sz w:val="18"/>
                <w:szCs w:val="20"/>
                <w:lang w:val="en-US" w:eastAsia="zh-CN"/>
              </w:rPr>
            </w:pPr>
            <w:r>
              <w:rPr>
                <w:rFonts w:hint="default" w:eastAsia="等线"/>
                <w:color w:val="000000"/>
                <w:sz w:val="18"/>
                <w:szCs w:val="20"/>
                <w:lang w:val="en-US"/>
              </w:rPr>
              <w:t>FLOPS</w:t>
            </w:r>
            <w:r>
              <w:rPr>
                <w:rFonts w:hint="eastAsia" w:eastAsia="等线"/>
                <w:color w:val="000000"/>
                <w:sz w:val="18"/>
                <w:szCs w:val="20"/>
                <w:lang w:val="en-US" w:eastAsia="zh-CN"/>
              </w:rPr>
              <w:t>:</w:t>
            </w:r>
          </w:p>
          <w:p>
            <w:pPr>
              <w:keepNext w:val="0"/>
              <w:keepLines w:val="0"/>
              <w:widowControl/>
              <w:suppressLineNumbers w:val="0"/>
              <w:spacing w:before="24" w:beforeLines="10" w:beforeAutospacing="0" w:after="24" w:afterLines="10" w:afterAutospacing="0" w:line="288" w:lineRule="auto"/>
              <w:ind w:left="0" w:right="0"/>
              <w:jc w:val="both"/>
              <w:rPr>
                <w:rFonts w:hint="eastAsia" w:eastAsia="等线"/>
                <w:color w:val="000000"/>
                <w:sz w:val="18"/>
                <w:szCs w:val="20"/>
                <w:lang w:val="en-US" w:eastAsia="zh-CN"/>
              </w:rPr>
            </w:pPr>
            <w:r>
              <w:rPr>
                <w:rFonts w:hint="eastAsia" w:eastAsia="等线"/>
                <w:color w:val="000000"/>
                <w:sz w:val="18"/>
                <w:szCs w:val="20"/>
                <w:lang w:val="en-US" w:eastAsia="zh-CN"/>
              </w:rPr>
              <w:t>Encoder: 46.966M</w:t>
            </w:r>
          </w:p>
          <w:p>
            <w:pPr>
              <w:keepNext w:val="0"/>
              <w:keepLines w:val="0"/>
              <w:widowControl/>
              <w:suppressLineNumbers w:val="0"/>
              <w:spacing w:before="24" w:beforeLines="10" w:beforeAutospacing="0" w:after="24" w:afterLines="10" w:afterAutospacing="0" w:line="288" w:lineRule="auto"/>
              <w:ind w:left="0" w:right="0"/>
              <w:jc w:val="both"/>
              <w:rPr>
                <w:rFonts w:hint="default" w:eastAsia="等线"/>
                <w:color w:val="000000"/>
                <w:sz w:val="18"/>
                <w:szCs w:val="20"/>
                <w:lang w:val="en-US" w:eastAsia="zh-CN"/>
              </w:rPr>
            </w:pPr>
            <w:r>
              <w:rPr>
                <w:rFonts w:hint="eastAsia" w:eastAsia="等线"/>
                <w:color w:val="000000"/>
                <w:sz w:val="18"/>
                <w:szCs w:val="20"/>
                <w:lang w:val="en-US" w:eastAsia="zh-CN"/>
              </w:rPr>
              <w:t>Decoder: 739.965M</w:t>
            </w:r>
          </w:p>
          <w:p>
            <w:pPr>
              <w:keepNext w:val="0"/>
              <w:keepLines w:val="0"/>
              <w:widowControl/>
              <w:suppressLineNumbers w:val="0"/>
              <w:spacing w:before="24" w:beforeLines="10" w:beforeAutospacing="0" w:after="24" w:afterLines="10" w:afterAutospacing="0" w:line="288" w:lineRule="auto"/>
              <w:ind w:left="0" w:right="0"/>
              <w:jc w:val="both"/>
              <w:rPr>
                <w:rFonts w:hint="default" w:eastAsia="等线"/>
                <w:color w:val="000000"/>
                <w:sz w:val="18"/>
                <w:szCs w:val="20"/>
                <w:lang w:val="en-US" w:eastAsia="zh-CN"/>
              </w:rPr>
            </w:pPr>
            <w:r>
              <w:rPr>
                <w:rFonts w:hint="eastAsia" w:eastAsia="等线"/>
                <w:color w:val="000000"/>
                <w:sz w:val="18"/>
                <w:szCs w:val="20"/>
                <w:lang w:val="en-US" w:eastAsia="zh-CN"/>
              </w:rPr>
              <w:t>Parameters Num: 1.928M</w:t>
            </w: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both"/>
              <w:rPr>
                <w:rFonts w:hint="eastAsia" w:eastAsia="等线"/>
                <w:color w:val="000000"/>
                <w:sz w:val="18"/>
                <w:szCs w:val="20"/>
                <w:lang w:val="en-US" w:eastAsia="zh-CN"/>
              </w:rPr>
            </w:pPr>
          </w:p>
        </w:tc>
        <w:tc>
          <w:tcPr>
            <w:tcW w:w="210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eastAsia" w:eastAsia="等线"/>
                <w:color w:val="000000"/>
                <w:sz w:val="18"/>
                <w:szCs w:val="20"/>
                <w:lang w:val="en-US" w:eastAsia="zh-CN"/>
              </w:rPr>
              <w:t>/</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Furthermore, we provided the simulation results with quantization non-aware training in Table 1, which show superior performance compared to those with quantization aware training. We believe that the phenomenon is also reasonable, as quantization is a lossy compression process. And the CDF of the SGCS across sub-bands as shown in Fig 3. </w:t>
      </w:r>
    </w:p>
    <w:p>
      <w:pPr>
        <w:jc w:val="both"/>
        <w:rPr>
          <w:rFonts w:hint="eastAsia" w:cs="Times New Roman"/>
          <w:b w:val="0"/>
          <w:bCs/>
          <w:szCs w:val="20"/>
          <w:u w:val="none"/>
          <w:lang w:val="en-US" w:eastAsia="zh-CN"/>
        </w:rPr>
      </w:pPr>
      <w:r>
        <w:rPr>
          <w:rFonts w:hint="eastAsia"/>
          <w:b/>
          <w:bCs/>
          <w:i/>
          <w:iCs/>
          <w:szCs w:val="21"/>
          <w:lang w:val="en-US" w:eastAsia="zh-CN"/>
        </w:rPr>
        <w:t>Observation 1. The results of quantization non-aware training is superior to quantization aware training.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eastAsia" w:cs="Times New Roman"/>
                <w:b w:val="0"/>
                <w:bCs/>
                <w:szCs w:val="20"/>
                <w:u w:val="none"/>
                <w:lang w:val="en-US" w:eastAsia="zh-CN"/>
              </w:rPr>
            </w:pPr>
            <w:r>
              <w:rPr>
                <w:rFonts w:hint="eastAsia" w:cs="Times New Roman"/>
                <w:b w:val="0"/>
                <w:bCs/>
                <w:szCs w:val="20"/>
                <w:u w:val="none"/>
                <w:lang w:val="en-US" w:eastAsia="zh-CN"/>
              </w:rPr>
              <w:drawing>
                <wp:inline distT="0" distB="0" distL="114300" distR="114300">
                  <wp:extent cx="3058795" cy="2294255"/>
                  <wp:effectExtent l="0" t="0" r="4445" b="6985"/>
                  <wp:docPr id="6" name="图片 6" descr="图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形"/>
                          <pic:cNvPicPr>
                            <a:picLocks noChangeAspect="1"/>
                          </pic:cNvPicPr>
                        </pic:nvPicPr>
                        <pic:blipFill>
                          <a:blip r:embed="rId13"/>
                          <a:stretch>
                            <a:fillRect/>
                          </a:stretch>
                        </pic:blipFill>
                        <pic:spPr>
                          <a:xfrm>
                            <a:off x="0" y="0"/>
                            <a:ext cx="3058795" cy="2294255"/>
                          </a:xfrm>
                          <a:prstGeom prst="rect">
                            <a:avLst/>
                          </a:prstGeom>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cs="Times New Roman"/>
                <w:b w:val="0"/>
                <w:bCs/>
                <w:szCs w:val="20"/>
                <w:u w:val="none"/>
                <w:lang w:val="en-US" w:eastAsia="zh-CN"/>
              </w:rPr>
            </w:pPr>
            <w:r>
              <w:rPr>
                <w:rFonts w:hint="eastAsia" w:cs="Times New Roman"/>
                <w:b w:val="0"/>
                <w:bCs/>
                <w:sz w:val="21"/>
                <w:szCs w:val="21"/>
                <w:u w:val="none"/>
                <w:lang w:val="en-US" w:eastAsia="zh-CN"/>
              </w:rPr>
              <w:t>Fig 2. CDF curves for CSI compression</w:t>
            </w:r>
            <w:r>
              <w:rPr>
                <w:rFonts w:hint="eastAsia" w:cs="Times New Roman"/>
                <w:b w:val="0"/>
                <w:bCs/>
                <w:szCs w:val="20"/>
                <w:u w:val="none"/>
                <w:lang w:val="en-US" w:eastAsia="zh-CN"/>
              </w:rPr>
              <w:t xml:space="preserve"> (Quantization aware training)</w:t>
            </w:r>
          </w:p>
        </w:tc>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eastAsia" w:cs="Times New Roman"/>
                <w:b w:val="0"/>
                <w:bCs/>
                <w:szCs w:val="20"/>
                <w:u w:val="none"/>
                <w:lang w:val="en-US" w:eastAsia="zh-CN"/>
              </w:rPr>
            </w:pPr>
            <w:r>
              <w:rPr>
                <w:rFonts w:hint="eastAsia" w:cs="Times New Roman"/>
                <w:b w:val="0"/>
                <w:bCs/>
                <w:szCs w:val="20"/>
                <w:u w:val="none"/>
                <w:lang w:val="en-US" w:eastAsia="zh-CN"/>
              </w:rPr>
              <w:drawing>
                <wp:inline distT="0" distB="0" distL="114300" distR="114300">
                  <wp:extent cx="3057525" cy="2292985"/>
                  <wp:effectExtent l="0" t="0" r="5715" b="8255"/>
                  <wp:docPr id="8" name="图片 8" descr="图形_Quantization_non-aware_trai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形_Quantization_non-aware_training"/>
                          <pic:cNvPicPr>
                            <a:picLocks noChangeAspect="1"/>
                          </pic:cNvPicPr>
                        </pic:nvPicPr>
                        <pic:blipFill>
                          <a:blip r:embed="rId14"/>
                          <a:stretch>
                            <a:fillRect/>
                          </a:stretch>
                        </pic:blipFill>
                        <pic:spPr>
                          <a:xfrm>
                            <a:off x="0" y="0"/>
                            <a:ext cx="3057525" cy="2292985"/>
                          </a:xfrm>
                          <a:prstGeom prst="rect">
                            <a:avLst/>
                          </a:prstGeom>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eastAsia" w:cs="Times New Roman"/>
                <w:b w:val="0"/>
                <w:bCs/>
                <w:szCs w:val="20"/>
                <w:u w:val="none"/>
                <w:lang w:val="en-US" w:eastAsia="zh-CN"/>
              </w:rPr>
            </w:pPr>
            <w:r>
              <w:rPr>
                <w:rFonts w:hint="eastAsia" w:cs="Times New Roman"/>
                <w:b w:val="0"/>
                <w:bCs/>
                <w:szCs w:val="20"/>
                <w:u w:val="none"/>
                <w:lang w:val="en-US" w:eastAsia="zh-CN"/>
              </w:rPr>
              <w:t xml:space="preserve">Fig 3. CDF curves for CSI compression (Quantization non-aware training) </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Based on the simulation results of the CNN model, we would like to emphasize the importance of the AI model</w:t>
      </w:r>
      <w:r>
        <w:rPr>
          <w:rFonts w:hint="default" w:cs="Times New Roman"/>
          <w:b w:val="0"/>
          <w:bCs/>
          <w:szCs w:val="20"/>
          <w:u w:val="none"/>
          <w:lang w:val="en-US" w:eastAsia="zh-CN"/>
        </w:rPr>
        <w:t>’</w:t>
      </w:r>
      <w:r>
        <w:rPr>
          <w:rFonts w:hint="eastAsia" w:cs="Times New Roman"/>
          <w:b w:val="0"/>
          <w:bCs/>
          <w:szCs w:val="20"/>
          <w:u w:val="none"/>
          <w:lang w:val="en-US" w:eastAsia="zh-CN"/>
        </w:rPr>
        <w:t xml:space="preserve">s FLOPS, which determining the feasibility of the hardware implementation. As shown in Table 1, the total FPLOS of the CNN model is 786.931M. Compared to other AI models like transformer and MLP, the FLOPS of the CNN is significantly higher, thereby imposing higher requirements for hardware implementation. More importantly, the performance of the CNN model is inferior to that of the transformer model. This is one critical reason why the CNN model is challenging to apply. </w:t>
      </w:r>
    </w:p>
    <w:p>
      <w:pPr>
        <w:jc w:val="both"/>
        <w:rPr>
          <w:rFonts w:hint="eastAsia" w:cs="Times New Roman"/>
          <w:b w:val="0"/>
          <w:bCs/>
          <w:szCs w:val="20"/>
          <w:u w:val="none"/>
          <w:lang w:val="en-US" w:eastAsia="zh-CN"/>
        </w:rPr>
      </w:pPr>
      <w:r>
        <w:rPr>
          <w:rFonts w:hint="eastAsia" w:cs="Times New Roman"/>
          <w:b w:val="0"/>
          <w:bCs/>
          <w:szCs w:val="20"/>
          <w:u w:val="none"/>
          <w:lang w:val="en-US" w:eastAsia="zh-CN"/>
        </w:rPr>
        <w:t>In summary, if RAN4 intends to define requirements for CSI compression in the future, FLOPS should be considered as one of the metrics.</w:t>
      </w:r>
    </w:p>
    <w:p>
      <w:pPr>
        <w:jc w:val="both"/>
        <w:rPr>
          <w:rFonts w:hint="eastAsia"/>
          <w:b/>
          <w:bCs/>
          <w:i/>
          <w:iCs/>
          <w:szCs w:val="21"/>
          <w:lang w:val="en-US" w:eastAsia="zh-CN"/>
        </w:rPr>
      </w:pPr>
      <w:r>
        <w:rPr>
          <w:rFonts w:hint="eastAsia"/>
          <w:b/>
          <w:bCs/>
          <w:i/>
          <w:iCs/>
          <w:szCs w:val="21"/>
          <w:lang w:val="en-US" w:eastAsia="zh-CN"/>
        </w:rPr>
        <w:t>Observation 2. The FLOPS of the CNN model is significantly higher than other models, e.g. transformer, MLP.</w:t>
      </w:r>
    </w:p>
    <w:p>
      <w:pPr>
        <w:jc w:val="both"/>
        <w:rPr>
          <w:rFonts w:hint="default"/>
          <w:b/>
          <w:bCs/>
          <w:i/>
          <w:iCs/>
          <w:szCs w:val="21"/>
          <w:lang w:val="en-US" w:eastAsia="zh-CN"/>
        </w:rPr>
      </w:pPr>
      <w:r>
        <w:rPr>
          <w:rFonts w:hint="eastAsia"/>
          <w:b/>
          <w:bCs/>
          <w:i/>
          <w:iCs/>
          <w:szCs w:val="21"/>
          <w:lang w:val="en-US" w:eastAsia="zh-CN"/>
        </w:rPr>
        <w:t>Observation 3. The performance of the CNN model is inferior to that of other models, e.g. transformer, MLP.</w:t>
      </w:r>
    </w:p>
    <w:p>
      <w:pPr>
        <w:jc w:val="both"/>
        <w:rPr>
          <w:rFonts w:hint="eastAsia" w:cs="Times New Roman"/>
          <w:b w:val="0"/>
          <w:bCs/>
          <w:szCs w:val="20"/>
          <w:u w:val="none"/>
          <w:lang w:val="en-US" w:eastAsia="zh-CN"/>
        </w:rPr>
      </w:pPr>
      <w:r>
        <w:rPr>
          <w:rFonts w:hint="eastAsia" w:cs="Times New Roman"/>
          <w:b w:val="0"/>
          <w:bCs/>
          <w:szCs w:val="20"/>
          <w:u w:val="none"/>
          <w:lang w:val="en-US" w:eastAsia="zh-CN"/>
        </w:rPr>
        <w:t>Next, we would like to discuss the issue of alignment when the results from among companies are not vastly different. As expected in RAN4, we aspire to the alignment of results among different companies. The first obvious issue is that the required span among different companies. It is evident that RAN4 never study the span for SGCS or other test metrics besides SNR value in RAN4 testing conformance. If RAN4 intends to achieve conclusions that can be aligned among different companies, it should first establish that the extent of the span that can be agreed among different companies. Based on our observations, when considering low overhead feedback, the variation in the number of bits has a significant impact on the outcome; conversely, with high overhead feedback, changes in bit count barely influence the outcome.</w:t>
      </w:r>
    </w:p>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Moreover, regarding the demodulation requirements for AI CSI compression, even RAN4 agreed on using CNN model for alignment evaluation. However, this is not the final requirements. From RAN4 demodulation requirements perspective, conformance testing is based on minimum requirements, additionally requirements are based on implementation. We noticed that different companies provided different models in last meeting, even the same models still have different parameters configuration, which gives rise to different outcomes in theoretically. Unfortunately, RAN4 has not evaluated the extent of differences in results from different models or parameter configurations. From our understanding, RAN4 requires more evaluations to validate the impacts of such differences on the outcomes. </w:t>
      </w:r>
    </w:p>
    <w:p>
      <w:pPr>
        <w:jc w:val="both"/>
        <w:rPr>
          <w:rFonts w:hint="default" w:cs="Times New Roman"/>
          <w:b w:val="0"/>
          <w:bCs/>
          <w:szCs w:val="20"/>
          <w:u w:val="none"/>
          <w:lang w:val="en-US" w:eastAsia="zh-CN"/>
        </w:rPr>
      </w:pPr>
      <w:r>
        <w:rPr>
          <w:rFonts w:hint="eastAsia" w:cs="Times New Roman"/>
          <w:b w:val="0"/>
          <w:bCs/>
          <w:szCs w:val="20"/>
          <w:u w:val="none"/>
          <w:lang w:val="en-US" w:eastAsia="zh-CN"/>
        </w:rPr>
        <w:t xml:space="preserve">On the other side, model structures rely on companies implementation. It is well-known that AI is often perceived as a block box, making it challenging to analyze theoretically through formulas or principles. In the past, for other demodulation requirements, RAN4 has established strict guidelines to govern process from Release 15. For AI- driven work item, even more stringent regulations are imperative. </w:t>
      </w:r>
    </w:p>
    <w:p>
      <w:pPr>
        <w:jc w:val="both"/>
        <w:rPr>
          <w:rFonts w:hint="default"/>
          <w:b/>
          <w:bCs/>
          <w:i/>
          <w:iCs/>
          <w:szCs w:val="21"/>
          <w:lang w:val="en-US" w:eastAsia="zh-CN"/>
        </w:rPr>
      </w:pPr>
      <w:r>
        <w:rPr>
          <w:rFonts w:hint="eastAsia"/>
          <w:b/>
          <w:bCs/>
          <w:i/>
          <w:iCs/>
          <w:szCs w:val="21"/>
          <w:lang w:val="en-US" w:eastAsia="zh-CN"/>
        </w:rPr>
        <w:t>Observation 4. RAN4 needs to build a strict guidelines to govern process for Release 19 for AI compression test metric.</w:t>
      </w:r>
    </w:p>
    <w:p>
      <w:pPr>
        <w:jc w:val="both"/>
        <w:rPr>
          <w:rFonts w:hint="eastAsia"/>
          <w:b/>
          <w:bCs/>
          <w:i/>
          <w:iCs/>
          <w:szCs w:val="21"/>
          <w:lang w:val="en-US" w:eastAsia="zh-CN"/>
        </w:rPr>
      </w:pPr>
      <w:r>
        <w:rPr>
          <w:rFonts w:hint="eastAsia"/>
          <w:b/>
          <w:bCs/>
          <w:i/>
          <w:iCs/>
          <w:szCs w:val="21"/>
          <w:lang w:val="en-US" w:eastAsia="zh-CN"/>
        </w:rPr>
        <w:t>Observation 5. If RAN4 would like to study feasibility for CSI compression, new regulations should be considered for AI/ML-based KPI.</w:t>
      </w:r>
    </w:p>
    <w:p>
      <w:pPr>
        <w:jc w:val="both"/>
        <w:rPr>
          <w:rFonts w:hint="default"/>
          <w:b/>
          <w:bCs/>
          <w:i/>
          <w:iCs/>
          <w:szCs w:val="21"/>
          <w:lang w:val="en-US" w:eastAsia="zh-CN"/>
        </w:rPr>
      </w:pPr>
      <w:r>
        <w:rPr>
          <w:rFonts w:hint="eastAsia"/>
          <w:b/>
          <w:bCs/>
          <w:i/>
          <w:iCs/>
          <w:szCs w:val="21"/>
          <w:lang w:val="en-US" w:eastAsia="zh-CN"/>
        </w:rPr>
        <w:t xml:space="preserve">Proposal 1. RAN4 may need to investigate how large of a span can be considered aligned results. </w:t>
      </w:r>
    </w:p>
    <w:p>
      <w:pPr>
        <w:jc w:val="both"/>
        <w:rPr>
          <w:rFonts w:hint="default"/>
          <w:b/>
          <w:bCs/>
          <w:i/>
          <w:iCs/>
          <w:szCs w:val="21"/>
          <w:lang w:val="en-US" w:eastAsia="zh-CN"/>
        </w:rPr>
      </w:pPr>
    </w:p>
    <w:p>
      <w:pPr>
        <w:rPr>
          <w:rFonts w:hint="default" w:eastAsiaTheme="minorEastAsia"/>
          <w:b/>
          <w:sz w:val="21"/>
          <w:szCs w:val="21"/>
          <w:u w:val="single"/>
          <w:lang w:val="en-US" w:eastAsia="zh-CN"/>
        </w:rPr>
      </w:pPr>
      <w:r>
        <w:rPr>
          <w:rFonts w:hint="eastAsia" w:eastAsiaTheme="minorEastAsia"/>
          <w:b/>
          <w:sz w:val="21"/>
          <w:szCs w:val="21"/>
          <w:u w:val="single"/>
          <w:lang w:val="en-US" w:eastAsia="zh-CN"/>
        </w:rPr>
        <w:t>Option 4 for 2- side model</w:t>
      </w:r>
    </w:p>
    <w:p>
      <w:pPr>
        <w:rPr>
          <w:rFonts w:hint="default" w:ascii="Times New Roman" w:hAnsi="Times New Roman" w:cs="Times New Roman"/>
          <w:b w:val="0"/>
          <w:bCs/>
          <w:szCs w:val="20"/>
          <w:u w:val="none"/>
          <w:lang w:val="en-US" w:eastAsia="zh-CN"/>
        </w:rPr>
      </w:pPr>
      <w:r>
        <w:rPr>
          <w:rFonts w:hint="default" w:ascii="Times New Roman" w:hAnsi="Times New Roman" w:cs="Times New Roman"/>
          <w:b w:val="0"/>
          <w:bCs/>
          <w:szCs w:val="20"/>
          <w:u w:val="none"/>
          <w:lang w:val="en-US" w:eastAsia="zh-CN"/>
        </w:rPr>
        <w:t>At the previous meeting, RAN4 deliberated on potential candidate options for option 4, namely the means of achieving interoperability between DUT vendors and TE vendors.</w:t>
      </w:r>
      <w:r>
        <w:rPr>
          <w:rFonts w:hint="eastAsia" w:ascii="Times New Roman" w:hAnsi="Times New Roman" w:cs="Times New Roman"/>
          <w:b w:val="0"/>
          <w:bCs/>
          <w:szCs w:val="20"/>
          <w:u w:val="none"/>
          <w:lang w:val="en-US" w:eastAsia="zh-CN"/>
        </w:rPr>
        <w:t xml:space="preserve"> In T</w:t>
      </w:r>
      <w:r>
        <w:rPr>
          <w:rFonts w:hint="eastAsia" w:cs="Times New Roman"/>
          <w:b w:val="0"/>
          <w:bCs/>
          <w:szCs w:val="20"/>
          <w:u w:val="none"/>
          <w:lang w:val="en-US" w:eastAsia="zh-CN"/>
        </w:rPr>
        <w:t>R</w:t>
      </w:r>
      <w:r>
        <w:rPr>
          <w:rFonts w:hint="eastAsia" w:ascii="Times New Roman" w:hAnsi="Times New Roman" w:cs="Times New Roman"/>
          <w:b w:val="0"/>
          <w:bCs/>
          <w:szCs w:val="20"/>
          <w:u w:val="none"/>
          <w:lang w:val="en-US" w:eastAsia="zh-CN"/>
        </w:rPr>
        <w:t xml:space="preserve"> 38.843, we defined partial knowledge in RAN4 specification for decoder to achieve interoperability. With regard to this partial knowledge of the decoder, it can bring more flexible approach</w:t>
      </w:r>
      <w:r>
        <w:rPr>
          <w:rFonts w:hint="eastAsia" w:cs="Times New Roman"/>
          <w:b w:val="0"/>
          <w:bCs/>
          <w:szCs w:val="20"/>
          <w:u w:val="none"/>
          <w:lang w:val="en-US" w:eastAsia="zh-CN"/>
        </w:rPr>
        <w:t>es</w:t>
      </w:r>
      <w:r>
        <w:rPr>
          <w:rFonts w:hint="eastAsia" w:ascii="Times New Roman" w:hAnsi="Times New Roman" w:cs="Times New Roman"/>
          <w:b w:val="0"/>
          <w:bCs/>
          <w:szCs w:val="20"/>
          <w:u w:val="none"/>
          <w:lang w:val="en-US" w:eastAsia="zh-CN"/>
        </w:rPr>
        <w:t xml:space="preserve"> for TE vendors. </w:t>
      </w:r>
      <w:r>
        <w:rPr>
          <w:rFonts w:hint="eastAsia" w:cs="Times New Roman"/>
          <w:b w:val="0"/>
          <w:bCs/>
          <w:szCs w:val="20"/>
          <w:u w:val="none"/>
          <w:lang w:val="en-US" w:eastAsia="zh-CN"/>
        </w:rPr>
        <w:t xml:space="preserve">To ensure interoperability, we need to define more knowledge between DUT and TE side. All candidate options as shown in following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eastAsia="游明朝"/>
                <w:iCs/>
                <w:szCs w:val="20"/>
                <w:lang w:eastAsia="ja-JP"/>
              </w:rPr>
            </w:pPr>
            <w:r>
              <w:rPr>
                <w:rFonts w:hint="eastAsia" w:eastAsia="游明朝"/>
                <w:iCs/>
                <w:szCs w:val="20"/>
                <w:lang w:eastAsia="ja-JP"/>
              </w:rPr>
              <w:t>4a: Dataset based: specify at least dataset based on which the test decoder can be implemented by TE vendors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Cs w:val="20"/>
                <w:lang w:eastAsia="ja-JP"/>
              </w:rPr>
            </w:pPr>
            <w:r>
              <w:rPr>
                <w:rFonts w:hint="default" w:eastAsia="游明朝"/>
                <w:iCs/>
                <w:szCs w:val="20"/>
                <w:lang w:eastAsia="ja-JP"/>
              </w:rPr>
              <w:tab/>
            </w:r>
            <w:r>
              <w:rPr>
                <w:rFonts w:hint="default" w:eastAsia="游明朝"/>
                <w:iCs/>
                <w:szCs w:val="20"/>
                <w:lang w:eastAsia="ja-JP"/>
              </w:rPr>
              <w:tab/>
            </w:r>
            <w:r>
              <w:rPr>
                <w:rFonts w:hint="eastAsia" w:eastAsia="游明朝"/>
                <w:iCs/>
                <w:szCs w:val="20"/>
                <w:lang w:eastAsia="ja-JP"/>
              </w:rPr>
              <w:t xml:space="preserve">FFS whether anything else needs to be specified (e.g. model structure for decoder or a reference encoder) </w:t>
            </w:r>
          </w:p>
          <w:p>
            <w:pPr>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eastAsia="游明朝"/>
                <w:iCs/>
                <w:szCs w:val="20"/>
                <w:lang w:eastAsia="ja-JP"/>
              </w:rPr>
            </w:pPr>
            <w:r>
              <w:rPr>
                <w:rFonts w:hint="eastAsia" w:eastAsia="游明朝"/>
                <w:iCs/>
                <w:szCs w:val="20"/>
                <w:lang w:eastAsia="ja-JP"/>
              </w:rPr>
              <w:t xml:space="preserve">4b: Reference encoder based: encoder is documented in the specifications, used to derive a decoder to be implemented by TE vendors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游明朝"/>
                <w:iCs/>
                <w:szCs w:val="20"/>
                <w:lang w:eastAsia="ja-JP"/>
              </w:rPr>
            </w:pPr>
            <w:r>
              <w:rPr>
                <w:rFonts w:hint="default" w:eastAsia="游明朝"/>
                <w:iCs/>
                <w:szCs w:val="20"/>
                <w:lang w:eastAsia="ja-JP"/>
              </w:rPr>
              <w:tab/>
            </w:r>
            <w:r>
              <w:rPr>
                <w:rFonts w:hint="default" w:eastAsia="游明朝"/>
                <w:iCs/>
                <w:szCs w:val="20"/>
                <w:lang w:eastAsia="ja-JP"/>
              </w:rPr>
              <w:tab/>
            </w:r>
            <w:r>
              <w:rPr>
                <w:rFonts w:hint="eastAsia" w:eastAsia="游明朝"/>
                <w:iCs/>
                <w:szCs w:val="20"/>
                <w:lang w:eastAsia="ja-JP"/>
              </w:rPr>
              <w:t xml:space="preserve">FFS whether training dataset (channel information) needs to be specified </w:t>
            </w:r>
          </w:p>
          <w:p>
            <w:pPr>
              <w:keepNext w:val="0"/>
              <w:keepLines w:val="0"/>
              <w:widowControl/>
              <w:numPr>
                <w:ilvl w:val="0"/>
                <w:numId w:val="9"/>
              </w:numPr>
              <w:suppressLineNumbers w:val="0"/>
              <w:overflowPunct w:val="0"/>
              <w:autoSpaceDE w:val="0"/>
              <w:autoSpaceDN w:val="0"/>
              <w:adjustRightInd w:val="0"/>
              <w:spacing w:before="0" w:beforeAutospacing="0" w:after="180" w:afterAutospacing="0"/>
              <w:ind w:right="0"/>
              <w:textAlignment w:val="baseline"/>
              <w:rPr>
                <w:rFonts w:hint="default" w:cs="Times New Roman"/>
                <w:kern w:val="2"/>
                <w:sz w:val="21"/>
                <w:szCs w:val="20"/>
                <w:vertAlign w:val="baseline"/>
                <w:lang w:val="en-US" w:eastAsia="zh-CN" w:bidi="ar-SA"/>
              </w:rPr>
            </w:pPr>
            <w:r>
              <w:rPr>
                <w:rFonts w:hint="eastAsia" w:eastAsia="游明朝"/>
                <w:iCs/>
                <w:szCs w:val="20"/>
                <w:lang w:eastAsia="ja-JP"/>
              </w:rPr>
              <w:t xml:space="preserve">4c: do not specify either reference encoder or dataset. specify enough </w:t>
            </w:r>
            <w:r>
              <w:rPr>
                <w:rFonts w:hint="default" w:eastAsia="游明朝"/>
                <w:iCs/>
                <w:szCs w:val="20"/>
                <w:lang w:eastAsia="ja-JP"/>
              </w:rPr>
              <w:t>constraint</w:t>
            </w:r>
            <w:r>
              <w:rPr>
                <w:rFonts w:hint="eastAsia" w:eastAsia="游明朝"/>
                <w:iCs/>
                <w:szCs w:val="20"/>
                <w:lang w:eastAsia="ja-JP"/>
              </w:rPr>
              <w:t>s on the decoder output ordering</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For above options, we want to give some analysis from our side. Firstly, if RAN4 would like to standardize a training data, which can be derived from reference encoder/decoder according generation procedure. And reference encoder/ decoder is also full defined in RAN4 specification. DUT vendor and TE vendor could use the training data to train AI/ML model, e.g. encoder and decoder models. A TE vendor could use training data and partial knowledge to train their own encoder and decoder. A DUT vendor also could use training data and partial knowledge to design their own encoder and decoder. DUT vendor and TE vendor can guarantee the better performance on their side.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As mentioned before, RAN4</w:t>
      </w:r>
      <w:r>
        <w:rPr>
          <w:rFonts w:hint="default" w:cs="Times New Roman"/>
          <w:kern w:val="2"/>
          <w:sz w:val="21"/>
          <w:lang w:val="en-US" w:eastAsia="zh-CN" w:bidi="ar-SA"/>
        </w:rPr>
        <w:t>’</w:t>
      </w:r>
      <w:r>
        <w:rPr>
          <w:rFonts w:hint="eastAsia" w:cs="Times New Roman"/>
          <w:kern w:val="2"/>
          <w:sz w:val="21"/>
          <w:lang w:val="en-US" w:eastAsia="zh-CN" w:bidi="ar-SA"/>
        </w:rPr>
        <w:t xml:space="preserve">s motivation is to achieve interoperability, which means RAN4 must guarantee that any encoder paired with any TE decoder should result in the same performance. In other words, TE decoder should be paired with any DUT decoder during the test.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However, the test decoder with partial knowledge, considering more implementation aspects during its design phase. Even all TE vendors use same model structure, it is a challenging to expect the same performance during test. Also it is difficult to ensure that DUT vendor and TE vendor have same model parameters during training their own decoder and test decoder. </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On the other hand, the construction of training data is intimately related to the implementation of the physical layer, such as channel estimation, and system simulation design. Even RAN4 has agreed some system level assumptions to generate training data. Ensuring consistency among the training data provided by various companies remains a challenge task unless RAN4 demonstrates that distinct training data can also lead to convergence in the final results. Actually, we expect to reach a conclusion on this issue in the next meeting, as RAN4 unanimously agreed to use CNN model for result calibration. If the outcomes from different companies cannot be aligned, this would imply training data discrepancies in partial knowledge are irreparable.</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998595" cy="2562225"/>
            <wp:effectExtent l="0" t="0" r="0" b="1333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5"/>
                    <a:stretch>
                      <a:fillRect/>
                    </a:stretch>
                  </pic:blipFill>
                  <pic:spPr>
                    <a:xfrm>
                      <a:off x="0" y="0"/>
                      <a:ext cx="3998595" cy="2562225"/>
                    </a:xfrm>
                    <a:prstGeom prst="rect">
                      <a:avLst/>
                    </a:prstGeom>
                    <a:noFill/>
                    <a:ln w="9525">
                      <a:noFill/>
                    </a:ln>
                  </pic:spPr>
                </pic:pic>
              </a:graphicData>
            </a:graphic>
          </wp:inline>
        </w:drawing>
      </w:r>
    </w:p>
    <w:p>
      <w:pPr>
        <w:widowControl w:val="0"/>
        <w:spacing w:beforeLines="100" w:afterLines="0" w:line="240" w:lineRule="auto"/>
        <w:jc w:val="center"/>
        <w:rPr>
          <w:rFonts w:hint="eastAsia"/>
          <w:lang w:val="en-US" w:eastAsia="zh-CN"/>
        </w:rPr>
      </w:pPr>
      <w:r>
        <w:rPr>
          <w:rFonts w:hint="eastAsia"/>
          <w:lang w:val="en-US" w:eastAsia="zh-CN"/>
        </w:rPr>
        <w:t>Figure 4. Training data based for option 4 test decoder</w:t>
      </w:r>
    </w:p>
    <w:p>
      <w:pPr>
        <w:widowControl w:val="0"/>
        <w:spacing w:beforeLines="100" w:afterLines="0" w:line="240" w:lineRule="auto"/>
        <w:jc w:val="both"/>
        <w:rPr>
          <w:rFonts w:hint="eastAsia"/>
          <w:lang w:val="en-US" w:eastAsia="zh-CN"/>
        </w:rPr>
      </w:pPr>
      <w:r>
        <w:rPr>
          <w:rFonts w:hint="eastAsia"/>
          <w:lang w:val="en-US" w:eastAsia="zh-CN"/>
        </w:rPr>
        <w:t>Base on above analysis, we acknowledge that the validity of the training data still requires validation in the partial knowledge for option 4. From the simulation results of option 3, factors affecting performance not only include dataset but also the structure of the AI model and hyper-parameters. Even through RAN4 only agreed some system simulation assumptions to generate the dataset, it is still challenging to demonstrate that the generation of datasets can overlook certain specific implementations, unless RAN4 can align results among companies based on assumptions made at the last meeting. This will demonstrate that the dataset actually has little impact on AI performance, with model structure and hyper-parameters being critical factors. As a consequence, RAN4 can relax assumptions about the dataset but should strictly define AI structures and hyper-parameters. In other words, for option 4, only specifying the dataset is insufficient; it is challenging for DUT and TE vendors to achieve interoperability and testsbility through the dataset alone. To accomplish this goal, RAN4 needs to specify the model structure or a reference encoder.</w:t>
      </w:r>
    </w:p>
    <w:p>
      <w:pPr>
        <w:widowControl w:val="0"/>
        <w:spacing w:beforeLines="100" w:afterLines="0" w:line="240" w:lineRule="auto"/>
        <w:jc w:val="both"/>
        <w:rPr>
          <w:rFonts w:hint="default"/>
          <w:lang w:val="en-US" w:eastAsia="zh-CN"/>
        </w:rPr>
      </w:pPr>
      <w:r>
        <w:rPr>
          <w:rFonts w:hint="eastAsia"/>
          <w:lang w:val="en-US" w:eastAsia="zh-CN"/>
        </w:rPr>
        <w:t>Mode structure for decoder: From our understanding, the model structure is akin to the CNN model structure in the current option 3. DUT and TE vendors develop the defined decoder and train them using the dataset; given the consistent model architecture of the decoder, the DUT vendor can ensure that their encoder is compatible with the specified decoder. However, we overlook the impact of hyper-parameters during the training process. From the results of the last meeting, simulations results based on the CNN model did not achieve alignment, partly due to issues with hyper-parameters lik</w:t>
      </w:r>
      <w:r>
        <w:rPr>
          <w:rFonts w:hint="eastAsia"/>
          <w:highlight w:val="none"/>
          <w:lang w:val="en-US" w:eastAsia="zh-CN"/>
        </w:rPr>
        <w:t>e loss function</w:t>
      </w:r>
      <w:r>
        <w:rPr>
          <w:rFonts w:hint="eastAsia"/>
          <w:lang w:val="en-US" w:eastAsia="zh-CN"/>
        </w:rPr>
        <w:t xml:space="preserve">, optimizer, learning rate, batch size, indicating that these factors also play a critical role in model performance. </w:t>
      </w:r>
    </w:p>
    <w:p>
      <w:pPr>
        <w:widowControl w:val="0"/>
        <w:spacing w:beforeLines="100" w:afterLines="0" w:line="240" w:lineRule="auto"/>
        <w:jc w:val="both"/>
        <w:rPr>
          <w:rFonts w:hint="eastAsia"/>
          <w:lang w:val="en-US" w:eastAsia="zh-CN"/>
        </w:rPr>
      </w:pPr>
      <w:r>
        <w:rPr>
          <w:rFonts w:hint="eastAsia"/>
          <w:lang w:val="en-US" w:eastAsia="zh-CN"/>
        </w:rPr>
        <w:t>Reference encoder: In the conclusion of the previous meeting, reference encoder/ decoder can be used to derive requirements, which means that the reference is a well-defined AI model that can be directly utilized for testing purpose. DUT and TE vendors can design their own decoders on the reference encoder and train them with the dataset, ensuring compatibility between the encoder and decoder. Of course, TE vendors can also develop encoders with better performance based on the reference.</w:t>
      </w:r>
    </w:p>
    <w:p>
      <w:pPr>
        <w:widowControl w:val="0"/>
        <w:spacing w:beforeLines="100" w:afterLines="0" w:line="240" w:lineRule="auto"/>
        <w:jc w:val="both"/>
        <w:rPr>
          <w:rFonts w:hint="eastAsia"/>
          <w:lang w:val="en-US" w:eastAsia="zh-CN"/>
        </w:rPr>
      </w:pPr>
      <w:r>
        <w:rPr>
          <w:rFonts w:hint="eastAsia"/>
          <w:lang w:val="en-US" w:eastAsia="zh-CN"/>
        </w:rPr>
        <w:t>In summary, if RAN4 intends to adopt a data based approach, we believe that the model structure or reference is indispensable. At the same time, for the model structure, factors such as hyper-parameters should also be considered, because this requires training by the TE vendors to derive the decoder. Therefore, for methods that require retraining, ensuring consistency of parameters throughput the training process is a prerequisite for achieving comparable performance.</w:t>
      </w:r>
    </w:p>
    <w:p>
      <w:pPr>
        <w:widowControl w:val="0"/>
        <w:spacing w:beforeLines="100" w:afterLines="0" w:line="240" w:lineRule="auto"/>
        <w:jc w:val="both"/>
        <w:rPr>
          <w:rFonts w:hint="default"/>
          <w:lang w:val="en-US" w:eastAsia="zh-CN"/>
        </w:rPr>
      </w:pPr>
      <w:r>
        <w:rPr>
          <w:rFonts w:hint="eastAsia"/>
          <w:lang w:val="en-US" w:eastAsia="zh-CN"/>
        </w:rPr>
        <w:t xml:space="preserve">And on the other hand, concerning the acquisition of datasets, which could be either provided by a specific company or aggregated datasets. In any case, RAN4 must evaluate these datasets to determine if they are suitable for defining requirements. </w:t>
      </w:r>
    </w:p>
    <w:p>
      <w:pPr>
        <w:widowControl w:val="0"/>
        <w:spacing w:beforeLines="100" w:afterLines="0" w:line="240" w:lineRule="auto"/>
        <w:jc w:val="both"/>
        <w:rPr>
          <w:rFonts w:hint="default"/>
          <w:lang w:val="en-US" w:eastAsia="zh-CN"/>
        </w:rPr>
      </w:pPr>
      <w:r>
        <w:rPr>
          <w:rFonts w:hint="eastAsia"/>
          <w:lang w:val="en-US" w:eastAsia="zh-CN"/>
        </w:rPr>
        <w:t xml:space="preserve">Next, we want to share our view from reference perspective. In previous meeting, reference encoder and decoder were agreed to use in RAN4 discussion as least for simulation alignment / requirements derivation for option 3. Reference decoder is the test decoder for option 3. From test perspective, we think reference encoder/decoder is still needed for requirements derivation, which can be assumed as baseline model structure. As we all known, option 4 is allowed to provide more flexibility to TE vendor or DT vendor. If RAN4 defines the reference encoder/decoder, the minimum performance requirements can be guaranteed. Even DUT or TE vendor can perform updates based on partial knowledge, it also ensures that the performance meets the minimum requirements. Since the reference encoder/ decoder is necessary to ensure that the test results meet or surpass the minimum requirements. </w:t>
      </w:r>
    </w:p>
    <w:p>
      <w:pPr>
        <w:widowControl w:val="0"/>
        <w:spacing w:beforeLines="100" w:afterLines="0" w:line="240" w:lineRule="auto"/>
        <w:jc w:val="both"/>
        <w:rPr>
          <w:rFonts w:hint="eastAsia"/>
          <w:strike w:val="0"/>
          <w:dstrike w:val="0"/>
          <w:lang w:val="en-US" w:eastAsia="zh-CN"/>
        </w:rPr>
      </w:pPr>
      <w:r>
        <w:rPr>
          <w:rFonts w:hint="eastAsia"/>
          <w:strike w:val="0"/>
          <w:dstrike w:val="0"/>
          <w:lang w:val="en-US" w:eastAsia="zh-CN"/>
        </w:rPr>
        <w:t>From our understanding, reference model is a pre-trained model. Assuming alignment with simulation assumptions, for the training results submitted by all companies, the TE vendor merely need s to export these files to derive the complete model, thereby skipping the training phase. Subsequently, the TE vendor can directly train the decoder based on the exported reference encoder model. During the training process, since the encoder model is already fixed, if TE vendors can train the decoder based on the parameters of the encoder, we believe the performance of the decoder should be close. However, if different TE vendors have varying implementations during the training process, such as in hyper-parameters or other aspects, the performance of the decoder may show some differences.</w:t>
      </w:r>
    </w:p>
    <w:p>
      <w:pPr>
        <w:widowControl w:val="0"/>
        <w:spacing w:beforeLines="100" w:afterLines="0" w:line="240" w:lineRule="auto"/>
        <w:jc w:val="both"/>
        <w:rPr>
          <w:rFonts w:hint="default"/>
          <w:strike/>
          <w:dstrike w:val="0"/>
          <w:lang w:val="en-US" w:eastAsia="zh-CN"/>
        </w:rPr>
      </w:pPr>
      <w:r>
        <w:rPr>
          <w:rFonts w:hint="eastAsia"/>
          <w:lang w:val="en-US" w:eastAsia="zh-CN"/>
        </w:rPr>
        <w:t>If RAN4 only standardizes reference encoder, it is a challenging to guarantee the interoperability and testability during test. Since the decoder is partial knowledge based on RAN4 specification for DUT vendor and TE vendor, the acquisition of the decoder relies on the training process. Foe two side model, the encoder and decoder are trained together in a paired form. Therefore, we believe that a datasets for training is indispensable.</w:t>
      </w:r>
    </w:p>
    <w:p>
      <w:pPr>
        <w:rPr>
          <w:rFonts w:hint="default" w:cs="Times New Roman"/>
          <w:kern w:val="2"/>
          <w:sz w:val="21"/>
          <w:lang w:val="en-US" w:eastAsia="zh-CN" w:bidi="ar-SA"/>
        </w:rPr>
      </w:pPr>
      <w:r>
        <w:rPr>
          <w:rFonts w:hint="eastAsia"/>
          <w:b/>
          <w:bCs/>
          <w:i/>
          <w:iCs/>
          <w:strike w:val="0"/>
          <w:dstrike w:val="0"/>
          <w:szCs w:val="21"/>
          <w:lang w:val="en-US" w:eastAsia="zh-CN"/>
        </w:rPr>
        <w:t>Proposal 2. To consider reference encoder based method, and training datasets need to be specified.</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jc w:val="both"/>
        <w:rPr>
          <w:rFonts w:hint="eastAsia" w:cs="Times New Roman"/>
          <w:b w:val="0"/>
          <w:bCs/>
          <w:szCs w:val="20"/>
          <w:u w:val="none"/>
          <w:lang w:val="en-US" w:eastAsia="zh-CN"/>
        </w:rPr>
      </w:pPr>
      <w:r>
        <w:rPr>
          <w:rFonts w:hint="eastAsia"/>
          <w:b/>
          <w:bCs/>
          <w:i/>
          <w:iCs/>
          <w:szCs w:val="21"/>
          <w:lang w:val="en-US" w:eastAsia="zh-CN"/>
        </w:rPr>
        <w:t>Observation 1. The results of quantization non-aware training is superior to quantization aware training.</w:t>
      </w:r>
    </w:p>
    <w:p>
      <w:pPr>
        <w:jc w:val="both"/>
        <w:rPr>
          <w:rFonts w:hint="eastAsia"/>
          <w:b/>
          <w:bCs/>
          <w:i/>
          <w:iCs/>
          <w:szCs w:val="21"/>
          <w:lang w:val="en-US" w:eastAsia="zh-CN"/>
        </w:rPr>
      </w:pPr>
      <w:r>
        <w:rPr>
          <w:rFonts w:hint="eastAsia"/>
          <w:b/>
          <w:bCs/>
          <w:i/>
          <w:iCs/>
          <w:szCs w:val="21"/>
          <w:lang w:val="en-US" w:eastAsia="zh-CN"/>
        </w:rPr>
        <w:t>Observation 2. The FLOPS of the CNN model is significantly higher than other models, e.g. transformer, MLP.</w:t>
      </w:r>
    </w:p>
    <w:p>
      <w:pPr>
        <w:jc w:val="both"/>
        <w:rPr>
          <w:rFonts w:hint="default"/>
          <w:b/>
          <w:bCs/>
          <w:i/>
          <w:iCs/>
          <w:szCs w:val="21"/>
          <w:lang w:val="en-US" w:eastAsia="zh-CN"/>
        </w:rPr>
      </w:pPr>
      <w:r>
        <w:rPr>
          <w:rFonts w:hint="eastAsia"/>
          <w:b/>
          <w:bCs/>
          <w:i/>
          <w:iCs/>
          <w:szCs w:val="21"/>
          <w:lang w:val="en-US" w:eastAsia="zh-CN"/>
        </w:rPr>
        <w:t>Observation 3. The performance of the CNN model is inferior to that of other models, e.g. transformer, MLP.</w:t>
      </w:r>
    </w:p>
    <w:p>
      <w:pPr>
        <w:jc w:val="both"/>
        <w:rPr>
          <w:rFonts w:hint="default"/>
          <w:b/>
          <w:bCs/>
          <w:i/>
          <w:iCs/>
          <w:szCs w:val="21"/>
          <w:lang w:val="en-US" w:eastAsia="zh-CN"/>
        </w:rPr>
      </w:pPr>
      <w:r>
        <w:rPr>
          <w:rFonts w:hint="eastAsia"/>
          <w:b/>
          <w:bCs/>
          <w:i/>
          <w:iCs/>
          <w:szCs w:val="21"/>
          <w:lang w:val="en-US" w:eastAsia="zh-CN"/>
        </w:rPr>
        <w:t>Observation 4. RAN4 needs to build a strict guidelines to govern process for Release 19 for AI compression test metric.</w:t>
      </w:r>
    </w:p>
    <w:p>
      <w:pPr>
        <w:jc w:val="both"/>
        <w:rPr>
          <w:rFonts w:hint="default"/>
          <w:b/>
          <w:bCs/>
          <w:i/>
          <w:iCs/>
          <w:szCs w:val="21"/>
          <w:lang w:val="en-US" w:eastAsia="zh-CN"/>
        </w:rPr>
      </w:pPr>
      <w:r>
        <w:rPr>
          <w:rFonts w:hint="eastAsia"/>
          <w:b/>
          <w:bCs/>
          <w:i/>
          <w:iCs/>
          <w:szCs w:val="21"/>
          <w:lang w:val="en-US" w:eastAsia="zh-CN"/>
        </w:rPr>
        <w:t>Observation 5. If RAN4 would like to study feasibility for CSI compression, new regulations should be considered for AI/ML-based KPI.</w:t>
      </w:r>
    </w:p>
    <w:p>
      <w:pPr>
        <w:jc w:val="both"/>
        <w:rPr>
          <w:rFonts w:hint="eastAsia"/>
          <w:bCs/>
          <w:kern w:val="0"/>
          <w:szCs w:val="21"/>
        </w:rPr>
      </w:pPr>
      <w:r>
        <w:rPr>
          <w:rFonts w:hint="eastAsia"/>
          <w:b/>
          <w:bCs/>
          <w:i/>
          <w:iCs/>
          <w:szCs w:val="21"/>
          <w:lang w:val="en-US" w:eastAsia="zh-CN"/>
        </w:rPr>
        <w:t xml:space="preserve">Proposal 1. RAN4 may need to investigate how large a span can be considered aligned results. </w:t>
      </w:r>
    </w:p>
    <w:p>
      <w:pPr>
        <w:rPr>
          <w:rFonts w:hint="eastAsia"/>
          <w:bCs/>
          <w:kern w:val="0"/>
          <w:szCs w:val="21"/>
        </w:rPr>
      </w:pPr>
      <w:r>
        <w:rPr>
          <w:rFonts w:hint="eastAsia"/>
          <w:b/>
          <w:bCs/>
          <w:i/>
          <w:iCs/>
          <w:strike w:val="0"/>
          <w:dstrike w:val="0"/>
          <w:szCs w:val="21"/>
          <w:lang w:val="en-US" w:eastAsia="zh-CN"/>
        </w:rPr>
        <w:t>Proposal 2. To consider reference encoder based method, and training datasets need to be specified.</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R4-2414323, WF on AI/ML. Qualcomm Incorporated.</w:t>
      </w: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3GPP TS38.101-4.</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eastAsiaTheme="minorHAnsi" w:cstheme="minorBidi"/>
          <w:kern w:val="0"/>
          <w:sz w:val="21"/>
          <w:szCs w:val="21"/>
          <w:lang w:eastAsia="en-US"/>
        </w:rPr>
      </w:pPr>
      <w:r>
        <w:rPr>
          <w:rFonts w:hint="default" w:eastAsia="宋体" w:cstheme="minorBidi"/>
          <w:kern w:val="0"/>
          <w:sz w:val="21"/>
          <w:szCs w:val="21"/>
          <w:lang w:val="en-US" w:eastAsia="zh-CN"/>
        </w:rPr>
        <w:br w:type="page"/>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Appendix</w:t>
      </w:r>
    </w:p>
    <w:p>
      <w:pPr>
        <w:widowControl w:val="0"/>
        <w:pBdr>
          <w:top w:val="single" w:color="auto" w:sz="12" w:space="3"/>
        </w:pBdr>
        <w:spacing w:beforeLines="0" w:afterLines="0"/>
        <w:jc w:val="left"/>
        <w:outlineLvl w:val="9"/>
        <w:rPr>
          <w:rFonts w:hint="eastAsia"/>
          <w:b/>
          <w:kern w:val="0"/>
          <w:sz w:val="24"/>
          <w:szCs w:val="24"/>
          <w:lang w:val="en-US" w:eastAsia="zh-CN"/>
        </w:rPr>
      </w:pPr>
    </w:p>
    <w:p>
      <w:pPr>
        <w:widowControl w:val="0"/>
        <w:numPr>
          <w:ilvl w:val="0"/>
          <w:numId w:val="11"/>
        </w:numPr>
        <w:pBdr>
          <w:top w:val="single" w:color="auto" w:sz="12" w:space="3"/>
        </w:pBdr>
        <w:spacing w:beforeLines="0" w:afterLines="0"/>
        <w:jc w:val="left"/>
        <w:outlineLvl w:val="9"/>
        <w:rPr>
          <w:rFonts w:hint="default"/>
          <w:b/>
          <w:kern w:val="0"/>
          <w:sz w:val="24"/>
          <w:szCs w:val="24"/>
          <w:lang w:val="en-US" w:eastAsia="zh-CN"/>
        </w:rPr>
      </w:pPr>
      <w:r>
        <w:rPr>
          <w:rFonts w:hint="eastAsia"/>
          <w:b/>
          <w:kern w:val="0"/>
          <w:sz w:val="24"/>
          <w:szCs w:val="24"/>
          <w:lang w:val="en-US" w:eastAsia="zh-CN"/>
        </w:rPr>
        <w:t>System simulation assumption</w:t>
      </w:r>
    </w:p>
    <w:p>
      <w:pPr>
        <w:widowControl w:val="0"/>
        <w:numPr>
          <w:ilvl w:val="0"/>
          <w:numId w:val="0"/>
        </w:numPr>
        <w:pBdr>
          <w:top w:val="single" w:color="auto" w:sz="12" w:space="3"/>
        </w:pBdr>
        <w:spacing w:beforeLines="0" w:afterLines="0"/>
        <w:jc w:val="left"/>
        <w:outlineLvl w:val="9"/>
        <w:rPr>
          <w:rFonts w:hint="default"/>
          <w:b/>
          <w:kern w:val="0"/>
          <w:sz w:val="24"/>
          <w:szCs w:val="24"/>
          <w:lang w:val="en-US" w:eastAsia="zh-CN"/>
        </w:rPr>
      </w:pPr>
    </w:p>
    <w:p>
      <w:pPr>
        <w:widowControl w:val="0"/>
        <w:pBdr>
          <w:top w:val="single" w:color="auto" w:sz="12" w:space="3"/>
        </w:pBdr>
        <w:spacing w:beforeLines="0" w:afterLines="0"/>
        <w:jc w:val="center"/>
        <w:outlineLvl w:val="9"/>
        <w:rPr>
          <w:rFonts w:hint="default"/>
          <w:b w:val="0"/>
          <w:bCs/>
          <w:kern w:val="0"/>
          <w:sz w:val="21"/>
          <w:szCs w:val="21"/>
          <w:lang w:val="en-US" w:eastAsia="zh-CN"/>
        </w:rPr>
      </w:pPr>
      <w:r>
        <w:rPr>
          <w:rFonts w:hint="eastAsia"/>
          <w:b w:val="0"/>
          <w:bCs/>
          <w:kern w:val="0"/>
          <w:sz w:val="21"/>
          <w:szCs w:val="21"/>
          <w:lang w:val="en-US" w:eastAsia="zh-CN"/>
        </w:rPr>
        <w:t>Table 5-1. System simulation assumptions for training data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Scenario</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sz w:val="18"/>
                <w:szCs w:val="20"/>
              </w:rPr>
            </w:pPr>
            <w:r>
              <w:rPr>
                <w:rFonts w:hint="default" w:ascii="Arial" w:hAnsi="Arial"/>
                <w:sz w:val="18"/>
                <w:szCs w:val="20"/>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napToGrid w:val="0"/>
                <w:szCs w:val="20"/>
              </w:rPr>
              <w:t>FR1 only, [2GHz,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Companies need to report which option(s) are used between</w:t>
            </w:r>
          </w:p>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fr-FR" w:eastAsia="zh-CN"/>
              </w:rPr>
            </w:pPr>
            <w:r>
              <w:rPr>
                <w:rFonts w:hint="default" w:ascii="Arial" w:hAnsi="Arial" w:cs="Arial"/>
                <w:sz w:val="18"/>
                <w:szCs w:val="18"/>
                <w:lang w:val="fr-FR" w:eastAsia="zh-CN"/>
              </w:rPr>
              <w:t>- 32 ports: (8,8,2,1,1,2,8), (dH,dV) = (0.5, 0.8)</w:t>
            </w:r>
            <w:r>
              <w:rPr>
                <w:rFonts w:hint="default" w:ascii="Arial" w:hAnsi="Arial" w:cs="Arial"/>
                <w:sz w:val="18"/>
                <w:szCs w:val="18"/>
                <w:lang w:eastAsia="zh-CN"/>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4RX: (1,2,2,1,1,1,2), (dH,dV) = (0.5, 0.5)λ for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44dBm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Follow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szCs w:val="20"/>
                <w:lang w:eastAsia="zh-CN"/>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0"/>
                <w:lang w:eastAsia="zh-CN"/>
              </w:rPr>
            </w:pP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SCS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Yu Mincho"/>
                <w:szCs w:val="20"/>
                <w:lang w:eastAsia="ja-JP"/>
              </w:rPr>
            </w:pPr>
            <w:r>
              <w:rPr>
                <w:rFonts w:hint="default"/>
                <w:szCs w:val="20"/>
                <w:lang w:eastAsia="zh-CN"/>
              </w:rPr>
              <w:t xml:space="preserve">Baseline: 15kHz for 2GHz;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snapToGrid w:val="0"/>
                <w:szCs w:val="20"/>
                <w:lang w:eastAsia="en-US"/>
              </w:rPr>
            </w:pPr>
            <w:r>
              <w:rPr>
                <w:rFonts w:hint="default"/>
                <w:szCs w:val="20"/>
                <w:lang w:eastAsia="zh-CN"/>
              </w:rPr>
              <w:t xml:space="preserve">Baseline: </w:t>
            </w:r>
            <w:r>
              <w:rPr>
                <w:rFonts w:hint="default"/>
                <w:snapToGrid w:val="0"/>
                <w:szCs w:val="20"/>
              </w:rPr>
              <w:t>10 MHz for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cs="Arial"/>
                <w:szCs w:val="18"/>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highlight w:val="yellow"/>
                <w:lang w:eastAsia="zh-CN"/>
              </w:rPr>
            </w:pPr>
            <w:r>
              <w:rPr>
                <w:rFonts w:hint="default"/>
                <w:szCs w:val="20"/>
                <w:highlight w:val="yellow"/>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szCs w:val="20"/>
                <w:highlight w:val="yellow"/>
                <w:lang w:eastAsia="zh-CN"/>
              </w:rPr>
            </w:pPr>
            <w:r>
              <w:rPr>
                <w:rFonts w:hint="default"/>
                <w:szCs w:val="20"/>
                <w:highlight w:val="yellow"/>
                <w:lang w:eastAsia="zh-CN"/>
              </w:rPr>
              <w:t>Baseline: 1</w:t>
            </w:r>
          </w:p>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highlight w:val="yellow"/>
                <w:lang w:eastAsia="en-US"/>
              </w:rPr>
            </w:pPr>
            <w:r>
              <w:rPr>
                <w:rFonts w:hint="eastAsia"/>
                <w:szCs w:val="20"/>
                <w:highlight w:val="none"/>
                <w:lang w:eastAsia="zh-CN"/>
              </w:rPr>
              <w:t>Optional: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Feedback assumption at least for baseline scheme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icrosoft YaHei UI" w:cs="Arial"/>
                <w:sz w:val="18"/>
                <w:szCs w:val="18"/>
                <w:lang w:eastAsia="zh-CN"/>
              </w:rPr>
            </w:pPr>
            <w:r>
              <w:rPr>
                <w:rFonts w:hint="default" w:ascii="Arial" w:hAnsi="Arial" w:eastAsia="Microsoft YaHei UI" w:cs="Arial"/>
                <w:sz w:val="18"/>
                <w:szCs w:val="18"/>
                <w:lang w:eastAsia="zh-CN"/>
              </w:rPr>
              <w:t xml:space="preserve">- CSI feedback periodicity </w:t>
            </w:r>
            <w:r>
              <w:rPr>
                <w:rFonts w:hint="default" w:ascii="Arial" w:hAnsi="Arial" w:eastAsia="Microsoft YaHei UI" w:cs="Arial"/>
                <w:sz w:val="14"/>
                <w:szCs w:val="14"/>
                <w:lang w:eastAsia="zh-CN"/>
              </w:rPr>
              <w:t>(full CSI feedback)</w:t>
            </w:r>
            <w:r>
              <w:rPr>
                <w:rFonts w:hint="default" w:ascii="Arial" w:hAnsi="Arial" w:eastAsia="Microsoft YaHei UI" w:cs="Arial"/>
                <w:sz w:val="18"/>
                <w:szCs w:val="18"/>
                <w:lang w:eastAsia="zh-CN"/>
              </w:rPr>
              <w:t>: 5 ms (baseline)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S Mincho" w:cs="Arial"/>
                <w:sz w:val="18"/>
                <w:szCs w:val="18"/>
              </w:rPr>
            </w:pPr>
            <w:r>
              <w:rPr>
                <w:rFonts w:hint="default" w:ascii="Arial" w:hAnsi="Arial" w:eastAsia="Microsoft YaHei UI" w:cs="Arial"/>
                <w:sz w:val="18"/>
                <w:szCs w:val="18"/>
                <w:lang w:eastAsia="zh-CN"/>
              </w:rPr>
              <w:t xml:space="preserve">- Scheduling delay </w:t>
            </w:r>
            <w:r>
              <w:rPr>
                <w:rFonts w:hint="default" w:ascii="Arial" w:hAnsi="Arial" w:eastAsia="Microsoft YaHei UI" w:cs="Arial"/>
                <w:sz w:val="14"/>
                <w:szCs w:val="14"/>
                <w:lang w:eastAsia="zh-CN"/>
              </w:rPr>
              <w:t>(from CSI feedback to time to apply in scheduling)</w:t>
            </w:r>
            <w:r>
              <w:rPr>
                <w:rFonts w:hint="default" w:ascii="Arial" w:hAnsi="Arial" w:eastAsia="Microsoft YaHei UI" w:cs="Arial"/>
                <w:sz w:val="18"/>
                <w:szCs w:val="18"/>
                <w:lang w:eastAsia="zh-CN"/>
              </w:rPr>
              <w:t>: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cs="Arial"/>
                <w:szCs w:val="18"/>
                <w:lang w:eastAsia="en-US"/>
              </w:rPr>
            </w:pPr>
            <w:r>
              <w:rPr>
                <w:rFonts w:hint="default"/>
                <w:szCs w:val="20"/>
              </w:rPr>
              <w:t>Baseline: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val="en-US" w:eastAsia="zh-CN"/>
              </w:rPr>
              <w:t>CSI compression: 80% indoor (3 km/h), 20% outdoor (30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MMSE-IRC as the baseline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rPr>
                <w:rFonts w:hint="default" w:cs="Arial"/>
                <w:szCs w:val="18"/>
              </w:rPr>
            </w:pPr>
            <w:r>
              <w:rPr>
                <w:rFonts w:hint="eastAsia" w:ascii="Arial" w:hAnsi="Arial" w:eastAsia="宋体" w:cs="Arial"/>
                <w:sz w:val="18"/>
                <w:szCs w:val="18"/>
                <w:highlight w:val="none"/>
                <w:lang w:val="en-US" w:eastAsia="zh-CN"/>
              </w:rPr>
              <w:t>i</w:t>
            </w:r>
            <w:r>
              <w:rPr>
                <w:rFonts w:hint="eastAsia" w:ascii="Arial" w:hAnsi="Arial" w:eastAsia="Yu Mincho" w:cs="Arial"/>
                <w:sz w:val="18"/>
                <w:szCs w:val="18"/>
                <w:highlight w:val="none"/>
                <w:lang w:val="en-US" w:eastAsia="ja-JP"/>
              </w:rPr>
              <w:t>deal channel estimation</w:t>
            </w:r>
          </w:p>
        </w:tc>
      </w:tr>
    </w:tbl>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11"/>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AI model structure</w:t>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9835" cy="359981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2215" cy="3716020"/>
            <wp:effectExtent l="0" t="0" r="1206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pPr>
        <w:pStyle w:val="33"/>
        <w:numPr>
          <w:ilvl w:val="0"/>
          <w:numId w:val="11"/>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eastAsia="宋体" w:cs="Times New Roman"/>
          <w:b/>
          <w:kern w:val="0"/>
          <w:sz w:val="24"/>
          <w:szCs w:val="24"/>
          <w:lang w:val="en-US" w:eastAsia="zh-CN" w:bidi="ar-SA"/>
        </w:rPr>
        <w:t>Parameters</w:t>
      </w:r>
    </w:p>
    <w:p>
      <w:pPr>
        <w:pStyle w:val="33"/>
        <w:numPr>
          <w:ilvl w:val="0"/>
          <w:numId w:val="0"/>
        </w:numPr>
        <w:spacing w:afterLines="0" w:line="259" w:lineRule="auto"/>
        <w:ind w:leftChars="0" w:right="-22" w:rightChars="0"/>
        <w:jc w:val="left"/>
        <w:rPr>
          <w:rFonts w:hint="eastAsia" w:eastAsia="宋体" w:cs="Times New Roman"/>
          <w:b/>
          <w:kern w:val="0"/>
          <w:sz w:val="24"/>
          <w:szCs w:val="24"/>
          <w:lang w:val="en-US" w:eastAsia="zh-CN" w:bidi="ar-SA"/>
        </w:rPr>
      </w:pPr>
    </w:p>
    <w:tbl>
      <w:tblPr>
        <w:tblStyle w:val="23"/>
        <w:tblW w:w="10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4"/>
        <w:gridCol w:w="3737"/>
        <w:gridCol w:w="4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Parameter/Configurations</w:t>
            </w:r>
          </w:p>
        </w:tc>
        <w:tc>
          <w:tcPr>
            <w:tcW w:w="374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Options/Values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Company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Channel/data-set 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UE antenna element assumptions</w:t>
            </w:r>
          </w:p>
        </w:tc>
        <w:tc>
          <w:tcPr>
            <w:tcW w:w="3741" w:type="dxa"/>
          </w:tcPr>
          <w:p>
            <w:pPr>
              <w:pStyle w:val="33"/>
              <w:keepNext w:val="0"/>
              <w:keepLines w:val="0"/>
              <w:widowControl/>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1: Omni-directional antenna elements (Ericsson)</w:t>
            </w:r>
          </w:p>
          <w:p>
            <w:pPr>
              <w:pStyle w:val="33"/>
              <w:keepNext w:val="0"/>
              <w:keepLines w:val="0"/>
              <w:widowControl/>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2: Directional antenna elements</w:t>
            </w:r>
          </w:p>
          <w:p>
            <w:pPr>
              <w:pStyle w:val="33"/>
              <w:keepNext w:val="0"/>
              <w:keepLines w:val="0"/>
              <w:widowControl/>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3: Other</w:t>
            </w:r>
          </w:p>
        </w:tc>
        <w:tc>
          <w:tcPr>
            <w:tcW w:w="4327"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[Apple] We provided 2 simulation results:</w:t>
            </w:r>
            <w:r>
              <w:rPr>
                <w:rFonts w:hint="default"/>
                <w:szCs w:val="20"/>
              </w:rPr>
              <w:br w:type="textWrapping"/>
            </w:r>
            <w:r>
              <w:rPr>
                <w:rFonts w:hint="default"/>
                <w:szCs w:val="20"/>
              </w:rPr>
              <w:t xml:space="preserve">Directional (both horizontal/vertical) </w:t>
            </w:r>
            <w:r>
              <w:rPr>
                <w:rFonts w:hint="default"/>
                <w:szCs w:val="20"/>
              </w:rPr>
              <w:br w:type="textWrapping"/>
            </w:r>
            <w:r>
              <w:rPr>
                <w:rFonts w:hint="default"/>
                <w:szCs w:val="20"/>
              </w:rPr>
              <w:t>Omni (both horizontal/vertical)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[QC] Option 1 (both horizontal and 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[Intel] Option 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w:t>
            </w:r>
            <w:r>
              <w:rPr>
                <w:rFonts w:hint="eastAsia"/>
                <w:szCs w:val="20"/>
              </w:rPr>
              <w:t>OPPO</w:t>
            </w:r>
            <w:r>
              <w:rPr>
                <w:rFonts w:hint="default"/>
                <w:szCs w:val="20"/>
              </w:rPr>
              <w:t>]:Option1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eastAsia"/>
                <w:szCs w:val="20"/>
              </w:rPr>
              <w:t>[CMCC]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textAlignment w:val="baseline"/>
              <w:rPr>
                <w:rFonts w:hint="default"/>
                <w:color w:val="92D050"/>
              </w:rPr>
            </w:pPr>
            <w:r>
              <w:rPr>
                <w:rFonts w:hint="default"/>
              </w:rPr>
              <w:t>Ideal omni-directional antenna elements following RAN1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Sub-band channel averaging</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QC, Apple, vivo, Ericsson,OPPO] Average of covariance channel matrix per RBs in the sub-band before SVD</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Per sub-band</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 xml:space="preserve">[CMCC]: Average of raw channel matrix </w:t>
            </w:r>
            <w:r>
              <w:rPr>
                <w:rFonts w:hint="default"/>
              </w:rPr>
              <w:t>per RBs in the sub-band</w:t>
            </w:r>
            <w:r>
              <w:rPr>
                <w:rFonts w:hint="eastAsia"/>
              </w:rPr>
              <w:t xml:space="preserve"> before SVD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Prefer not to do the averaging before SVD.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Average of covariance channel matrices per PRBs in the sub-band</w:t>
            </w:r>
          </w:p>
          <w:p>
            <w:pPr>
              <w:pStyle w:val="33"/>
              <w:keepNext w:val="0"/>
              <w:keepLines w:val="0"/>
              <w:widowControl/>
              <w:numPr>
                <w:ilvl w:val="1"/>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 sample per PRB is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7"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Any other pre-processing</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To be listed if used</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Ericsson] 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[OPPO] Normalize the phase of all entries of the eigenvector based on the phase of the last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Normalize the phase of all entries of the eigenvector based on the phase of that entry that has the maximum amplitude averaged over the sub-bands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[Intel] prefer no other pre-processing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Apply phase normalization:</w:t>
            </w:r>
          </w:p>
          <w:p>
            <w:pPr>
              <w:pStyle w:val="33"/>
              <w:keepNext w:val="0"/>
              <w:keepLines w:val="0"/>
              <w:widowControl/>
              <w:numPr>
                <w:ilvl w:val="1"/>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i.e. the phase of the first value of the eigenvector is 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L2 norm of the eigenvector is equal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 collection assumptions</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w:t>
            </w:r>
            <w:r>
              <w:rPr>
                <w:rFonts w:hint="eastAsia"/>
              </w:rPr>
              <w:t>, CATT, ZTE</w:t>
            </w:r>
            <w:r>
              <w:rPr>
                <w:rFonts w:hint="default"/>
              </w:rPr>
              <w:t>, Ericsson</w:t>
            </w:r>
            <w:r>
              <w:rPr>
                <w:rFonts w:hint="eastAsia"/>
              </w:rPr>
              <w:t>, CMCC</w:t>
            </w:r>
            <w:r>
              <w:rPr>
                <w:rFonts w:hint="default"/>
              </w:rPr>
              <w:t>] Each channel realization is collected from independent UE drop</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Multiple channel realization can be collected from the same UE</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Other</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Multiple channels realizations are collected from multiple UEs and multiple drops of same UE</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Intel, OPPO]:  Multiple drops. Each drop collect data from multiple UEs. Additionally collect samples from channel realization from each UE spaced at de-correlated interval.</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Strive to ensure that the samples are decorrelated, especially when collected from the same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dataset size</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630K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450K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25K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614,440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[MTK]: 700K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800K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200K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[CATT]: 102,600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600k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600K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243000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w:t>
            </w:r>
            <w:r>
              <w:rPr>
                <w:rFonts w:hint="default"/>
              </w:rPr>
              <w:t>OPPO</w:t>
            </w:r>
            <w:r>
              <w:rPr>
                <w:rFonts w:hint="eastAsia"/>
              </w:rPr>
              <w:t>]：600k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[CMCC]: 100K</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Aim to use the dataset around 600K.</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At least 100K sample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Dataset quantization</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Float32</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Other data-set characteristics/statistics</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propose</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some statistics about the dataset.</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Statistics are FFS</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the CDF of the SGCS across sub-bands and input samples.</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If possible, also report CDF for eTypeII.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Model-related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Quantization of encoder output</w:t>
            </w:r>
          </w:p>
        </w:tc>
        <w:tc>
          <w:tcPr>
            <w:tcW w:w="3741" w:type="dxa"/>
          </w:tcPr>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Non-trainable quantization (bypassed during training)</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w:t>
            </w:r>
            <w:r>
              <w:rPr>
                <w:rFonts w:hint="eastAsia"/>
              </w:rPr>
              <w:t>, CMCC</w:t>
            </w:r>
            <w:r>
              <w:rPr>
                <w:rFonts w:hint="default"/>
              </w:rPr>
              <w:t>] Quantization aware training</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Quantization in forward and approximation in backward to enable learning. (avoid zero gradient of round function)</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VQ with quantization aware training</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Quantization aware training. Scalar quantization with non-trainable quantization grid.</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2 bit scalar quantization, quantizer aware training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Consider to align the activation </w:t>
            </w:r>
            <w:r>
              <w:rPr>
                <w:rFonts w:hint="default"/>
                <w:szCs w:val="20"/>
              </w:rPr>
              <w:t>function</w:t>
            </w:r>
            <w:r>
              <w:rPr>
                <w:rFonts w:hint="eastAsia"/>
                <w:szCs w:val="20"/>
              </w:rPr>
              <w:t xml:space="preserve"> and quantization method.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Report results without quantization of the FC layer outputs for validation purposes only, i.e., float32 is sent in CSI report</w:t>
            </w:r>
          </w:p>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still need to report quantization results:</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report whether/how quantization aware training is implemented (e.g., how quantization is treated at back propagation)</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can try quantization aware training with bypassing of the quantization in back propagation</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Quantization options, companies to provide the details:</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Fixed unform quantization with equal ranges</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Trainable quantization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Normalization before quantization in the encoder</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Ericsson]: Normalization with tanh function after FC layer</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 ZTE</w:t>
            </w:r>
            <w:r>
              <w:rPr>
                <w:rFonts w:hint="default"/>
                <w:szCs w:val="20"/>
              </w:rPr>
              <w:t>, vivo</w:t>
            </w:r>
            <w:r>
              <w:rPr>
                <w:rFonts w:hint="eastAsia"/>
                <w:szCs w:val="20"/>
              </w:rPr>
              <w:t>, CMCC]: Sigmoid function used after FC layer</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 Normalization not done due to the use of quantization aware training</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[Apple]: Normalization with tanh function after FC layer. We don’t apply inverse of that in de-quantization</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Sigmoid after FC layer. Inverse sigmoid after de-quantization stage in decoder.</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For the results with quantization, to use a sigmoid function in the encoder for normalization</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Sigmoid in the decoder is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Use and configuration of drop-out</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Use of on single drop-out layer after FC layer in the encoder and decoder, Drop-out rate = 0.4.</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w:t>
            </w:r>
            <w:r>
              <w:rPr>
                <w:rFonts w:hint="default"/>
                <w:szCs w:val="20"/>
              </w:rPr>
              <w:t>, QC</w:t>
            </w:r>
            <w:r>
              <w:rPr>
                <w:rFonts w:hint="eastAsia"/>
                <w:szCs w:val="20"/>
              </w:rPr>
              <w:t>, ZTE</w:t>
            </w:r>
            <w:r>
              <w:rPr>
                <w:rFonts w:hint="default"/>
                <w:szCs w:val="20"/>
              </w:rPr>
              <w:t>, Apple, vivo, Intel, Ericsson</w:t>
            </w:r>
            <w:r>
              <w:rPr>
                <w:rFonts w:hint="eastAsia"/>
                <w:szCs w:val="20"/>
              </w:rPr>
              <w:t>, CMCC]: No drop-out used.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Not to use drop-out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loss function, use of regularization</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 SGCS with L2 regularization with weight decay, </w:t>
            </w:r>
            <w:r>
              <w:rPr>
                <w:rStyle w:val="78"/>
                <w:rFonts w:hint="default"/>
              </w:rPr>
              <w:t xml:space="preserve">λ = </w:t>
            </w:r>
            <w:r>
              <w:rPr>
                <w:rFonts w:hint="default"/>
              </w:rPr>
              <w:t>10</w:t>
            </w:r>
            <w:r>
              <w:rPr>
                <w:rFonts w:hint="default"/>
                <w:vertAlign w:val="superscript"/>
              </w:rPr>
              <w:t>-2</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SGCS + additional terms for quantization aware training</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 CMCC</w:t>
            </w:r>
            <w:r>
              <w:rPr>
                <w:rFonts w:hint="default"/>
              </w:rPr>
              <w:t>]: 1- SGCS</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MTK, Intel]: SGCS</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[Ericsson]: NMSE</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 MSE</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xml:space="preserve">[vivo]: </w:t>
            </w:r>
            <w:r>
              <w:rPr>
                <w:rFonts w:hint="eastAsia"/>
                <w:szCs w:val="20"/>
              </w:rPr>
              <w:t>1</w:t>
            </w:r>
            <w:r>
              <w:rPr>
                <w:rFonts w:hint="default"/>
                <w:szCs w:val="20"/>
              </w:rPr>
              <w:t>-SGCS plus VQ loss for encoder output (MSE between original and quantized encoder output)</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SGCS, no L1/L2 regularization</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(1-SGCS) as loss function as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Optimizer</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QCM, Apple, MTK, Intel</w:t>
            </w:r>
            <w:r>
              <w:rPr>
                <w:rFonts w:hint="eastAsia"/>
              </w:rPr>
              <w:t>, CATT</w:t>
            </w:r>
            <w:r>
              <w:rPr>
                <w:rFonts w:hint="default"/>
              </w:rPr>
              <w:t>, Ericsson</w:t>
            </w:r>
            <w:r>
              <w:rPr>
                <w:rFonts w:hint="eastAsia"/>
              </w:rPr>
              <w:t>, CMCC</w:t>
            </w:r>
            <w:r>
              <w:rPr>
                <w:rFonts w:hint="default"/>
              </w:rPr>
              <w:t>]: Adam</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[Nokia]: RMSProp (Root Mean Square Propagation)</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w:t>
            </w:r>
            <w:r>
              <w:rPr>
                <w:rFonts w:hint="default"/>
                <w:szCs w:val="20"/>
              </w:rPr>
              <w:t>, vivo</w:t>
            </w:r>
            <w:r>
              <w:rPr>
                <w:rFonts w:hint="eastAsia"/>
                <w:szCs w:val="20"/>
              </w:rPr>
              <w:t xml:space="preserve">]: </w:t>
            </w:r>
            <w:r>
              <w:rPr>
                <w:rFonts w:hint="default"/>
                <w:szCs w:val="20"/>
              </w:rPr>
              <w:t>Adam</w:t>
            </w:r>
            <w:r>
              <w:rPr>
                <w:rFonts w:hint="eastAsia"/>
                <w:szCs w:val="20"/>
              </w:rPr>
              <w:t>W</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Adam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Learning rate</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R&amp;S</w:t>
            </w:r>
            <w:r>
              <w:rPr>
                <w:rFonts w:hint="eastAsia"/>
              </w:rPr>
              <w:t>, CATT</w:t>
            </w:r>
            <w:r>
              <w:rPr>
                <w:rFonts w:hint="default"/>
              </w:rPr>
              <w:t>, Ericsson]: 10^-4</w:t>
            </w:r>
          </w:p>
          <w:p>
            <w:pPr>
              <w:pStyle w:val="33"/>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Learning rate adaptation: Reduce on plateau by factor 0.5 with patience of 50 epochs.</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[Apple]: </w:t>
            </w:r>
            <w:r>
              <w:rPr>
                <w:rFonts w:hint="default" w:eastAsia="Yu Mincho"/>
                <w:lang w:eastAsia="ja-JP"/>
              </w:rPr>
              <w:t>0.0025</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Intel, MTK</w:t>
            </w:r>
            <w:r>
              <w:rPr>
                <w:rFonts w:hint="eastAsia" w:eastAsia="宋体"/>
              </w:rPr>
              <w:t>, CMCC</w:t>
            </w:r>
            <w:r>
              <w:rPr>
                <w:rFonts w:hint="default" w:eastAsia="Yu Mincho"/>
                <w:lang w:eastAsia="ja-JP"/>
              </w:rPr>
              <w:t>]: 0.001</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[ZTE]:1.5e-3</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Warm-up to initial lr 1e-3 and then linearly decay to final lr 8e-4, update after each batch</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Fixed learning rate of 10^-4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Batch size</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[Nokia]:1024</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MTK</w:t>
            </w:r>
            <w:r>
              <w:rPr>
                <w:rFonts w:hint="eastAsia"/>
              </w:rPr>
              <w:t>, CMCC</w:t>
            </w:r>
            <w:r>
              <w:rPr>
                <w:rFonts w:hint="default"/>
              </w:rPr>
              <w:t>]: 128</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256</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200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[R&amp;S</w:t>
            </w:r>
            <w:r>
              <w:rPr>
                <w:rFonts w:hint="eastAsia"/>
              </w:rPr>
              <w:t>, CATT</w:t>
            </w:r>
            <w:r>
              <w:rPr>
                <w:rFonts w:hint="default"/>
              </w:rPr>
              <w:t>, vivo, Ericsson</w:t>
            </w:r>
            <w:r>
              <w:rPr>
                <w:rFonts w:hint="default" w:eastAsia="Yu Mincho"/>
                <w:lang w:eastAsia="ja-JP"/>
              </w:rPr>
              <w:t>]: 512</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[Ericsson]: 32</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[Intel]: 10</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eastAsia="宋体"/>
                <w:szCs w:val="20"/>
              </w:rPr>
              <w:t>[ZTE]:400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(Max) Number of epochs</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150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vivo, Intel]: 100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Nokia</w:t>
            </w:r>
            <w:r>
              <w:rPr>
                <w:rFonts w:hint="eastAsia"/>
              </w:rPr>
              <w:t>, CATT</w:t>
            </w:r>
            <w:r>
              <w:rPr>
                <w:rFonts w:hint="default"/>
              </w:rPr>
              <w:t>]: 200</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[MTK</w:t>
            </w:r>
            <w:r>
              <w:rPr>
                <w:rFonts w:hint="eastAsia"/>
                <w:szCs w:val="20"/>
              </w:rPr>
              <w:t>, ZTE</w:t>
            </w:r>
            <w:r>
              <w:rPr>
                <w:rFonts w:hint="default"/>
                <w:szCs w:val="20"/>
              </w:rPr>
              <w:t>]: 300</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[CMCC]: 500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150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Stopping criteria</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Apple</w:t>
            </w:r>
            <w:r>
              <w:rPr>
                <w:rFonts w:hint="eastAsia"/>
              </w:rPr>
              <w:t>, CATT</w:t>
            </w:r>
            <w:r>
              <w:rPr>
                <w:rFonts w:hint="default"/>
              </w:rPr>
              <w:t>, QC</w:t>
            </w:r>
            <w:r>
              <w:rPr>
                <w:rFonts w:hint="eastAsia"/>
              </w:rPr>
              <w:t>, ZTE</w:t>
            </w:r>
            <w:r>
              <w:rPr>
                <w:rFonts w:hint="default"/>
              </w:rPr>
              <w:t>, Intel</w:t>
            </w:r>
            <w:r>
              <w:rPr>
                <w:rFonts w:hint="eastAsia"/>
              </w:rPr>
              <w:t>, CMCC</w:t>
            </w:r>
            <w:r>
              <w:rPr>
                <w:rFonts w:hint="default"/>
              </w:rPr>
              <w:t>]: No change in metric over a given number of epochs</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Validation patience: [Intel, Nokia] 10, [QC] 50</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Ericsson with constraint on max Epochs</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[vivo] Stop when reaching the configured number of epochs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 improvement over 25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Weight initialization</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w:t>
            </w:r>
            <w:r>
              <w:rPr>
                <w:rFonts w:hint="default"/>
              </w:rPr>
              <w:t>, QC, vivo, Intel</w:t>
            </w:r>
            <w:r>
              <w:rPr>
                <w:rFonts w:hint="eastAsia"/>
              </w:rPr>
              <w:t>, CMCC</w:t>
            </w:r>
            <w:r>
              <w:rPr>
                <w:rFonts w:hint="default"/>
              </w:rPr>
              <w:t>]: Default</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Variance scaling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Kernel Parameters:</w:t>
            </w:r>
          </w:p>
          <w:p>
            <w:pPr>
              <w:pStyle w:val="33"/>
              <w:keepNext w:val="0"/>
              <w:keepLines w:val="0"/>
              <w:widowControl/>
              <w:numPr>
                <w:ilvl w:val="0"/>
                <w:numId w:val="14"/>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Dilation</w:t>
            </w:r>
          </w:p>
          <w:p>
            <w:pPr>
              <w:pStyle w:val="33"/>
              <w:keepNext w:val="0"/>
              <w:keepLines w:val="0"/>
              <w:widowControl/>
              <w:numPr>
                <w:ilvl w:val="0"/>
                <w:numId w:val="14"/>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Padding Type</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The value of groups (VG)</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[CMCC, Samsung, Vivo</w:t>
            </w:r>
            <w:r>
              <w:rPr>
                <w:rFonts w:hint="eastAsia"/>
              </w:rPr>
              <w:t>, CATT</w:t>
            </w:r>
            <w:r>
              <w:rPr>
                <w:rFonts w:hint="default"/>
              </w:rPr>
              <w:t>]: Dilation:1, Padding type=0, VG= 1</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w:t>
            </w:r>
            <w:r>
              <w:rPr>
                <w:rFonts w:hint="eastAsia"/>
                <w:szCs w:val="20"/>
              </w:rPr>
              <w:t>, ZTE</w:t>
            </w:r>
            <w:r>
              <w:rPr>
                <w:rFonts w:hint="default"/>
                <w:szCs w:val="20"/>
              </w:rPr>
              <w:t>, Apple, Intel]: Default</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bl>
    <w:p/>
    <w:p>
      <w:pPr>
        <w:pStyle w:val="33"/>
        <w:numPr>
          <w:ilvl w:val="0"/>
          <w:numId w:val="0"/>
        </w:numPr>
        <w:spacing w:afterLines="0" w:line="259" w:lineRule="auto"/>
        <w:ind w:leftChars="0" w:right="-22" w:rightChars="0"/>
        <w:jc w:val="left"/>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0987530"/>
    <w:multiLevelType w:val="multilevel"/>
    <w:tmpl w:val="009875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B3C697"/>
    <w:multiLevelType w:val="singleLevel"/>
    <w:tmpl w:val="0BB3C697"/>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DCE53C4"/>
    <w:multiLevelType w:val="multilevel"/>
    <w:tmpl w:val="0DCE5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7BE699D"/>
    <w:multiLevelType w:val="multilevel"/>
    <w:tmpl w:val="27BE699D"/>
    <w:lvl w:ilvl="0" w:tentative="0">
      <w:start w:val="105"/>
      <w:numFmt w:val="bullet"/>
      <w:lvlText w:val="-"/>
      <w:lvlJc w:val="left"/>
      <w:pPr>
        <w:ind w:left="720" w:hanging="360"/>
      </w:pPr>
      <w:rPr>
        <w:rFonts w:hint="default" w:ascii="Aptos" w:hAnsi="Aptos"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49C794D"/>
    <w:multiLevelType w:val="multilevel"/>
    <w:tmpl w:val="349C79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7AD2B11"/>
    <w:multiLevelType w:val="multilevel"/>
    <w:tmpl w:val="37AD2B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1">
    <w:nsid w:val="473E4CA6"/>
    <w:multiLevelType w:val="multilevel"/>
    <w:tmpl w:val="473E4C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9E23645"/>
    <w:multiLevelType w:val="multilevel"/>
    <w:tmpl w:val="49E23645"/>
    <w:lvl w:ilvl="0" w:tentative="0">
      <w:start w:val="1"/>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4">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6">
    <w:nsid w:val="6AD404FD"/>
    <w:multiLevelType w:val="multilevel"/>
    <w:tmpl w:val="6AD404F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7F3B48CA"/>
    <w:multiLevelType w:val="multilevel"/>
    <w:tmpl w:val="7F3B48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7"/>
  </w:num>
  <w:num w:numId="4">
    <w:abstractNumId w:val="10"/>
  </w:num>
  <w:num w:numId="5">
    <w:abstractNumId w:val="1"/>
  </w:num>
  <w:num w:numId="6">
    <w:abstractNumId w:val="0"/>
  </w:num>
  <w:num w:numId="7">
    <w:abstractNumId w:val="13"/>
  </w:num>
  <w:num w:numId="8">
    <w:abstractNumId w:val="17"/>
  </w:num>
  <w:num w:numId="9">
    <w:abstractNumId w:val="12"/>
  </w:num>
  <w:num w:numId="10">
    <w:abstractNumId w:val="14"/>
  </w:num>
  <w:num w:numId="11">
    <w:abstractNumId w:val="3"/>
  </w:num>
  <w:num w:numId="12">
    <w:abstractNumId w:val="2"/>
  </w:num>
  <w:num w:numId="13">
    <w:abstractNumId w:val="16"/>
  </w:num>
  <w:num w:numId="14">
    <w:abstractNumId w:val="11"/>
  </w:num>
  <w:num w:numId="15">
    <w:abstractNumId w:val="6"/>
  </w:num>
  <w:num w:numId="16">
    <w:abstractNumId w:val="9"/>
  </w:num>
  <w:num w:numId="17">
    <w:abstractNumId w:val="5"/>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25154"/>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037B3"/>
    <w:rsid w:val="018107C9"/>
    <w:rsid w:val="01854FE9"/>
    <w:rsid w:val="018E207B"/>
    <w:rsid w:val="018F687C"/>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6348B"/>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72BB7"/>
    <w:rsid w:val="059D265F"/>
    <w:rsid w:val="05B2756C"/>
    <w:rsid w:val="05B92EC1"/>
    <w:rsid w:val="05C40203"/>
    <w:rsid w:val="05D03328"/>
    <w:rsid w:val="05E078B3"/>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24FF4"/>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543B3B"/>
    <w:rsid w:val="09600FBD"/>
    <w:rsid w:val="0963672B"/>
    <w:rsid w:val="096843B7"/>
    <w:rsid w:val="09734970"/>
    <w:rsid w:val="098143BC"/>
    <w:rsid w:val="09862E2D"/>
    <w:rsid w:val="099E309A"/>
    <w:rsid w:val="099F436D"/>
    <w:rsid w:val="09BD407A"/>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BD28F6"/>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A232AE"/>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AF5931"/>
    <w:rsid w:val="10C715C5"/>
    <w:rsid w:val="10D335EF"/>
    <w:rsid w:val="10DC1784"/>
    <w:rsid w:val="10E746EA"/>
    <w:rsid w:val="10E83FE0"/>
    <w:rsid w:val="10EC3168"/>
    <w:rsid w:val="10F52718"/>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02A66"/>
    <w:rsid w:val="160228F0"/>
    <w:rsid w:val="1608480E"/>
    <w:rsid w:val="161C1C58"/>
    <w:rsid w:val="162F7556"/>
    <w:rsid w:val="16413A3A"/>
    <w:rsid w:val="1644500C"/>
    <w:rsid w:val="16461A95"/>
    <w:rsid w:val="16594F06"/>
    <w:rsid w:val="16603885"/>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613FD"/>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3023CB"/>
    <w:rsid w:val="1E455D19"/>
    <w:rsid w:val="1E591C14"/>
    <w:rsid w:val="1E595CAF"/>
    <w:rsid w:val="1E6607F9"/>
    <w:rsid w:val="1E805396"/>
    <w:rsid w:val="1E884F62"/>
    <w:rsid w:val="1E9D6342"/>
    <w:rsid w:val="1E9D6D15"/>
    <w:rsid w:val="1EA77730"/>
    <w:rsid w:val="1EC36E9D"/>
    <w:rsid w:val="1ED72F24"/>
    <w:rsid w:val="1EDE4CB0"/>
    <w:rsid w:val="1EE25FDD"/>
    <w:rsid w:val="1EF5103F"/>
    <w:rsid w:val="1EFF5721"/>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124D15"/>
    <w:rsid w:val="213E7119"/>
    <w:rsid w:val="21603012"/>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C6F76"/>
    <w:rsid w:val="234449F5"/>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B49E0"/>
    <w:rsid w:val="25566028"/>
    <w:rsid w:val="25734B61"/>
    <w:rsid w:val="2575555D"/>
    <w:rsid w:val="257851FD"/>
    <w:rsid w:val="258B6FDA"/>
    <w:rsid w:val="258F6BC4"/>
    <w:rsid w:val="25975923"/>
    <w:rsid w:val="259A3D0A"/>
    <w:rsid w:val="259C29DF"/>
    <w:rsid w:val="259F452A"/>
    <w:rsid w:val="25A95F3E"/>
    <w:rsid w:val="25BF6041"/>
    <w:rsid w:val="25C35718"/>
    <w:rsid w:val="25CF0252"/>
    <w:rsid w:val="25D0248E"/>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0C6B85"/>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F4F67"/>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50B30"/>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1F459B6"/>
    <w:rsid w:val="3201404F"/>
    <w:rsid w:val="320901F5"/>
    <w:rsid w:val="320B7CCB"/>
    <w:rsid w:val="32105DE8"/>
    <w:rsid w:val="322D553B"/>
    <w:rsid w:val="3235187E"/>
    <w:rsid w:val="3237186B"/>
    <w:rsid w:val="323B6798"/>
    <w:rsid w:val="32454376"/>
    <w:rsid w:val="32537B57"/>
    <w:rsid w:val="32567FC0"/>
    <w:rsid w:val="325F618E"/>
    <w:rsid w:val="326B2DFA"/>
    <w:rsid w:val="326D2E9C"/>
    <w:rsid w:val="32757E99"/>
    <w:rsid w:val="32882CBB"/>
    <w:rsid w:val="328F5534"/>
    <w:rsid w:val="329A6ACE"/>
    <w:rsid w:val="32A230DB"/>
    <w:rsid w:val="32A27749"/>
    <w:rsid w:val="32A80A7D"/>
    <w:rsid w:val="32AE4A3C"/>
    <w:rsid w:val="32BA4880"/>
    <w:rsid w:val="32CB6A28"/>
    <w:rsid w:val="32D21971"/>
    <w:rsid w:val="32DF351E"/>
    <w:rsid w:val="32E660DB"/>
    <w:rsid w:val="32EE5E41"/>
    <w:rsid w:val="32F0425F"/>
    <w:rsid w:val="32F40F87"/>
    <w:rsid w:val="32FD7C76"/>
    <w:rsid w:val="330C22FC"/>
    <w:rsid w:val="33134959"/>
    <w:rsid w:val="33247878"/>
    <w:rsid w:val="33465BE0"/>
    <w:rsid w:val="33540E5D"/>
    <w:rsid w:val="335A0521"/>
    <w:rsid w:val="335E7B11"/>
    <w:rsid w:val="3364318B"/>
    <w:rsid w:val="33691888"/>
    <w:rsid w:val="336A499A"/>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10407E"/>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04606"/>
    <w:rsid w:val="3B2D1F45"/>
    <w:rsid w:val="3B307112"/>
    <w:rsid w:val="3B540533"/>
    <w:rsid w:val="3B5A2A22"/>
    <w:rsid w:val="3B632CFB"/>
    <w:rsid w:val="3B6363FD"/>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12BE9"/>
    <w:rsid w:val="40FD1BF0"/>
    <w:rsid w:val="41096BC0"/>
    <w:rsid w:val="410A75B6"/>
    <w:rsid w:val="410B452A"/>
    <w:rsid w:val="413353F1"/>
    <w:rsid w:val="41380956"/>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4746D"/>
    <w:rsid w:val="44756A66"/>
    <w:rsid w:val="447C30C1"/>
    <w:rsid w:val="447E4EBE"/>
    <w:rsid w:val="447F0CBA"/>
    <w:rsid w:val="44957F46"/>
    <w:rsid w:val="44994CF5"/>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C16FA"/>
    <w:rsid w:val="46894B18"/>
    <w:rsid w:val="469448C6"/>
    <w:rsid w:val="469E3BB1"/>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B67D3"/>
    <w:rsid w:val="48B116EA"/>
    <w:rsid w:val="48B74C7A"/>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3301D"/>
    <w:rsid w:val="4D462159"/>
    <w:rsid w:val="4D5366C7"/>
    <w:rsid w:val="4D566017"/>
    <w:rsid w:val="4D7D3EFB"/>
    <w:rsid w:val="4D83687D"/>
    <w:rsid w:val="4D8B0123"/>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B16618"/>
    <w:rsid w:val="50BB6306"/>
    <w:rsid w:val="50CA0599"/>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05559"/>
    <w:rsid w:val="52272B85"/>
    <w:rsid w:val="523E09B5"/>
    <w:rsid w:val="524D3051"/>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60B1622"/>
    <w:rsid w:val="56106284"/>
    <w:rsid w:val="562C1706"/>
    <w:rsid w:val="5632642A"/>
    <w:rsid w:val="56375B61"/>
    <w:rsid w:val="564944F4"/>
    <w:rsid w:val="564E5820"/>
    <w:rsid w:val="565E6D49"/>
    <w:rsid w:val="56630C00"/>
    <w:rsid w:val="56695DFF"/>
    <w:rsid w:val="567739D2"/>
    <w:rsid w:val="567B29ED"/>
    <w:rsid w:val="5686536D"/>
    <w:rsid w:val="568B1DB1"/>
    <w:rsid w:val="56902708"/>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FC07D9"/>
    <w:rsid w:val="57FF6992"/>
    <w:rsid w:val="580F1B21"/>
    <w:rsid w:val="581B7E79"/>
    <w:rsid w:val="58500F22"/>
    <w:rsid w:val="58587379"/>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D13D69"/>
    <w:rsid w:val="59E9525B"/>
    <w:rsid w:val="59FE5B32"/>
    <w:rsid w:val="5A0F7992"/>
    <w:rsid w:val="5A2E75CA"/>
    <w:rsid w:val="5A3C0F08"/>
    <w:rsid w:val="5A3E5B83"/>
    <w:rsid w:val="5A5663A3"/>
    <w:rsid w:val="5A571746"/>
    <w:rsid w:val="5A6253E3"/>
    <w:rsid w:val="5A674D2B"/>
    <w:rsid w:val="5A897C95"/>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D4E0C"/>
    <w:rsid w:val="5CEF1DC1"/>
    <w:rsid w:val="5CF94FAE"/>
    <w:rsid w:val="5D034EE9"/>
    <w:rsid w:val="5D0366E8"/>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8A2CFF"/>
    <w:rsid w:val="5D8B3B05"/>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4F1B95"/>
    <w:rsid w:val="5F683B6E"/>
    <w:rsid w:val="5F734541"/>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43A2B"/>
    <w:rsid w:val="61FF316E"/>
    <w:rsid w:val="620D1D12"/>
    <w:rsid w:val="620F4BAD"/>
    <w:rsid w:val="621542CB"/>
    <w:rsid w:val="62175DCD"/>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301C4F"/>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E7649"/>
    <w:rsid w:val="69F0745A"/>
    <w:rsid w:val="6A093E3B"/>
    <w:rsid w:val="6A1D59EC"/>
    <w:rsid w:val="6A247F72"/>
    <w:rsid w:val="6A3E2393"/>
    <w:rsid w:val="6A435B92"/>
    <w:rsid w:val="6A444DB8"/>
    <w:rsid w:val="6A4D4828"/>
    <w:rsid w:val="6A516AC3"/>
    <w:rsid w:val="6A5303BA"/>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D52241"/>
    <w:rsid w:val="6AE12DE8"/>
    <w:rsid w:val="6AEB36F7"/>
    <w:rsid w:val="6AF4047B"/>
    <w:rsid w:val="6AF805EA"/>
    <w:rsid w:val="6B1D68BE"/>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BB6983"/>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842B01"/>
    <w:rsid w:val="6F975588"/>
    <w:rsid w:val="6FA629D4"/>
    <w:rsid w:val="6FA6727C"/>
    <w:rsid w:val="6FA75ADB"/>
    <w:rsid w:val="6FAF79BF"/>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859E3"/>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4B1290"/>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1B1578"/>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922B3"/>
    <w:rsid w:val="7B890A24"/>
    <w:rsid w:val="7B8F1752"/>
    <w:rsid w:val="7BA47616"/>
    <w:rsid w:val="7BAA485C"/>
    <w:rsid w:val="7BAD1591"/>
    <w:rsid w:val="7BAF117E"/>
    <w:rsid w:val="7BB31662"/>
    <w:rsid w:val="7BB37B52"/>
    <w:rsid w:val="7BB83E6C"/>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A3401"/>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jpeg"/><Relationship Id="rId13" Type="http://schemas.openxmlformats.org/officeDocument/2006/relationships/image" Target="media/image1.jpeg"/><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307721\Download\Summary%20of%20Reported%20SGCS%20Results%20RAN4%20112_v6_Appl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t>CNN SGCS</a:t>
            </a:r>
            <a:endParaRPr lang="en-US"/>
          </a:p>
        </c:rich>
      </c:tx>
      <c:layout/>
      <c:overlay val="0"/>
      <c:spPr>
        <a:noFill/>
        <a:ln>
          <a:noFill/>
        </a:ln>
        <a:effectLst/>
      </c:spPr>
    </c:title>
    <c:autoTitleDeleted val="0"/>
    <c:plotArea>
      <c:layout/>
      <c:barChart>
        <c:barDir val="col"/>
        <c:grouping val="clustered"/>
        <c:varyColors val="0"/>
        <c:ser>
          <c:idx val="1"/>
          <c:order val="0"/>
          <c:tx>
            <c:strRef>
              <c:f>"AI/ML"</c:f>
              <c:strCache>
                <c:ptCount val="1"/>
                <c:pt idx="0">
                  <c:v>AI/ML</c:v>
                </c:pt>
              </c:strCache>
            </c:strRef>
          </c:tx>
          <c:spPr>
            <a:solidFill>
              <a:schemeClr val="accent2"/>
            </a:solidFill>
            <a:ln>
              <a:noFill/>
            </a:ln>
            <a:effectLst/>
          </c:spPr>
          <c:invertIfNegative val="0"/>
          <c:dLbls>
            <c:delete val="1"/>
          </c:dLbls>
          <c:cat>
            <c:strRef>
              <c:f>'[Summary of Reported SGCS Results RAN4 112_v6_Apple.xlsx]Sheet1'!$A$2:$A$17</c:f>
              <c:strCache>
                <c:ptCount val="16"/>
                <c:pt idx="0">
                  <c:v>Oppo</c:v>
                </c:pt>
                <c:pt idx="1">
                  <c:v>CATT</c:v>
                </c:pt>
                <c:pt idx="2">
                  <c:v>Apple</c:v>
                </c:pt>
                <c:pt idx="3">
                  <c:v>Rohde and Schwarz</c:v>
                </c:pt>
                <c:pt idx="4">
                  <c:v>Samsung</c:v>
                </c:pt>
                <c:pt idx="5">
                  <c:v>Mediatek</c:v>
                </c:pt>
                <c:pt idx="6">
                  <c:v>CMCC</c:v>
                </c:pt>
                <c:pt idx="7">
                  <c:v>Nokia</c:v>
                </c:pt>
                <c:pt idx="8">
                  <c:v>Vivo</c:v>
                </c:pt>
                <c:pt idx="9">
                  <c:v>Intel</c:v>
                </c:pt>
                <c:pt idx="10">
                  <c:v>Ericsson</c:v>
                </c:pt>
                <c:pt idx="11">
                  <c:v>Huawei, HiSilicon</c:v>
                </c:pt>
                <c:pt idx="12">
                  <c:v>ZTE, Sanechips</c:v>
                </c:pt>
                <c:pt idx="13">
                  <c:v>Qualcomm</c:v>
                </c:pt>
                <c:pt idx="14">
                  <c:v>Xiaomi</c:v>
                </c:pt>
                <c:pt idx="15">
                  <c:v>Apple2</c:v>
                </c:pt>
              </c:strCache>
            </c:strRef>
          </c:cat>
          <c:val>
            <c:numRef>
              <c:f>'[Summary of Reported SGCS Results RAN4 112_v6_Apple.xlsx]Sheet1'!$C$2:$C$17</c:f>
              <c:numCache>
                <c:formatCode>General</c:formatCode>
                <c:ptCount val="16"/>
                <c:pt idx="0">
                  <c:v>0.725</c:v>
                </c:pt>
                <c:pt idx="1">
                  <c:v>0.75</c:v>
                </c:pt>
                <c:pt idx="2">
                  <c:v>0.78</c:v>
                </c:pt>
                <c:pt idx="3">
                  <c:v>0.765</c:v>
                </c:pt>
                <c:pt idx="4">
                  <c:v>0.76</c:v>
                </c:pt>
                <c:pt idx="5">
                  <c:v>0.722</c:v>
                </c:pt>
                <c:pt idx="6">
                  <c:v>0.792</c:v>
                </c:pt>
                <c:pt idx="7">
                  <c:v>0.643</c:v>
                </c:pt>
                <c:pt idx="8">
                  <c:v>0.75</c:v>
                </c:pt>
                <c:pt idx="9">
                  <c:v>0.689</c:v>
                </c:pt>
                <c:pt idx="10">
                  <c:v>0.7085</c:v>
                </c:pt>
                <c:pt idx="11">
                  <c:v>0.69</c:v>
                </c:pt>
                <c:pt idx="12">
                  <c:v>0.7294</c:v>
                </c:pt>
                <c:pt idx="13">
                  <c:v>0.6934</c:v>
                </c:pt>
                <c:pt idx="14">
                  <c:v>0.682</c:v>
                </c:pt>
                <c:pt idx="15">
                  <c:v>0.719</c:v>
                </c:pt>
              </c:numCache>
            </c:numRef>
          </c:val>
        </c:ser>
        <c:ser>
          <c:idx val="2"/>
          <c:order val="1"/>
          <c:tx>
            <c:strRef>
              <c:f>"eType II"</c:f>
              <c:strCache>
                <c:ptCount val="1"/>
                <c:pt idx="0">
                  <c:v>eType II</c:v>
                </c:pt>
              </c:strCache>
            </c:strRef>
          </c:tx>
          <c:spPr>
            <a:solidFill>
              <a:schemeClr val="accent3"/>
            </a:solidFill>
            <a:ln>
              <a:noFill/>
            </a:ln>
            <a:effectLst/>
          </c:spPr>
          <c:invertIfNegative val="0"/>
          <c:dLbls>
            <c:delete val="1"/>
          </c:dLbls>
          <c:cat>
            <c:strRef>
              <c:f>'[Summary of Reported SGCS Results RAN4 112_v6_Apple.xlsx]Sheet1'!$A$2:$A$17</c:f>
              <c:strCache>
                <c:ptCount val="16"/>
                <c:pt idx="0">
                  <c:v>Oppo</c:v>
                </c:pt>
                <c:pt idx="1">
                  <c:v>CATT</c:v>
                </c:pt>
                <c:pt idx="2">
                  <c:v>Apple</c:v>
                </c:pt>
                <c:pt idx="3">
                  <c:v>Rohde and Schwarz</c:v>
                </c:pt>
                <c:pt idx="4">
                  <c:v>Samsung</c:v>
                </c:pt>
                <c:pt idx="5">
                  <c:v>Mediatek</c:v>
                </c:pt>
                <c:pt idx="6">
                  <c:v>CMCC</c:v>
                </c:pt>
                <c:pt idx="7">
                  <c:v>Nokia</c:v>
                </c:pt>
                <c:pt idx="8">
                  <c:v>Vivo</c:v>
                </c:pt>
                <c:pt idx="9">
                  <c:v>Intel</c:v>
                </c:pt>
                <c:pt idx="10">
                  <c:v>Ericsson</c:v>
                </c:pt>
                <c:pt idx="11">
                  <c:v>Huawei, HiSilicon</c:v>
                </c:pt>
                <c:pt idx="12">
                  <c:v>ZTE, Sanechips</c:v>
                </c:pt>
                <c:pt idx="13">
                  <c:v>Qualcomm</c:v>
                </c:pt>
                <c:pt idx="14">
                  <c:v>Xiaomi</c:v>
                </c:pt>
                <c:pt idx="15">
                  <c:v>Apple2</c:v>
                </c:pt>
              </c:strCache>
            </c:strRef>
          </c:cat>
          <c:val>
            <c:numRef>
              <c:f>'[Summary of Reported SGCS Results RAN4 112_v6_Apple.xlsx]Sheet1'!$D$2:$D$17</c:f>
              <c:numCache>
                <c:formatCode>General</c:formatCode>
                <c:ptCount val="16"/>
                <c:pt idx="2">
                  <c:v>0.747</c:v>
                </c:pt>
                <c:pt idx="4">
                  <c:v>0.7242</c:v>
                </c:pt>
                <c:pt idx="5">
                  <c:v>0.719</c:v>
                </c:pt>
                <c:pt idx="7">
                  <c:v>0.691</c:v>
                </c:pt>
                <c:pt idx="8">
                  <c:v>0.73</c:v>
                </c:pt>
                <c:pt idx="9">
                  <c:v>0.658</c:v>
                </c:pt>
                <c:pt idx="10">
                  <c:v>0.7001</c:v>
                </c:pt>
                <c:pt idx="11">
                  <c:v>0.66</c:v>
                </c:pt>
                <c:pt idx="12">
                  <c:v>0.6803</c:v>
                </c:pt>
                <c:pt idx="13">
                  <c:v>0.67</c:v>
                </c:pt>
                <c:pt idx="14">
                  <c:v>0.676</c:v>
                </c:pt>
                <c:pt idx="15">
                  <c:v>0.685</c:v>
                </c:pt>
              </c:numCache>
            </c:numRef>
          </c:val>
        </c:ser>
        <c:dLbls>
          <c:showLegendKey val="0"/>
          <c:showVal val="0"/>
          <c:showCatName val="0"/>
          <c:showSerName val="0"/>
          <c:showPercent val="0"/>
          <c:showBubbleSize val="0"/>
        </c:dLbls>
        <c:gapWidth val="150"/>
        <c:axId val="1817363408"/>
        <c:axId val="177912608"/>
      </c:barChart>
      <c:catAx>
        <c:axId val="181736340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1050" b="0" i="0" u="none" strike="noStrike" kern="1200" baseline="0">
                <a:solidFill>
                  <a:schemeClr val="tx1">
                    <a:lumMod val="65000"/>
                    <a:lumOff val="35000"/>
                  </a:schemeClr>
                </a:solidFill>
                <a:latin typeface="+mn-lt"/>
                <a:ea typeface="+mn-ea"/>
                <a:cs typeface="+mn-cs"/>
              </a:defRPr>
            </a:pPr>
          </a:p>
        </c:txPr>
        <c:crossAx val="177912608"/>
        <c:crosses val="autoZero"/>
        <c:auto val="1"/>
        <c:lblAlgn val="ctr"/>
        <c:lblOffset val="100"/>
        <c:noMultiLvlLbl val="0"/>
      </c:catAx>
      <c:valAx>
        <c:axId val="177912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173634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2024-10-07T12:57:53Z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